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AD6E7" w14:textId="5C8E4350" w:rsidR="004D35CA" w:rsidRPr="0040036A" w:rsidRDefault="004D35CA" w:rsidP="004D35CA">
      <w:pPr>
        <w:pStyle w:val="3GPPHeader"/>
        <w:spacing w:after="60"/>
        <w:rPr>
          <w:sz w:val="32"/>
          <w:szCs w:val="32"/>
        </w:rPr>
      </w:pPr>
      <w:r w:rsidRPr="00CE0424">
        <w:t>3GPP TSG-RAN WG</w:t>
      </w:r>
      <w:r>
        <w:t>2</w:t>
      </w:r>
      <w:r w:rsidRPr="00CE0424">
        <w:t xml:space="preserve"> #</w:t>
      </w:r>
      <w:r>
        <w:t>98</w:t>
      </w:r>
      <w:r w:rsidRPr="00CE0424">
        <w:tab/>
      </w:r>
      <w:r w:rsidRPr="00CE0424">
        <w:rPr>
          <w:sz w:val="32"/>
          <w:szCs w:val="32"/>
        </w:rPr>
        <w:t xml:space="preserve">Tdoc </w:t>
      </w:r>
      <w:r w:rsidRPr="007B3DF0">
        <w:rPr>
          <w:sz w:val="32"/>
          <w:szCs w:val="32"/>
        </w:rPr>
        <w:t>R2</w:t>
      </w:r>
      <w:r w:rsidR="004846DB" w:rsidRPr="004846DB">
        <w:rPr>
          <w:sz w:val="32"/>
          <w:szCs w:val="32"/>
        </w:rPr>
        <w:t>-</w:t>
      </w:r>
      <w:r w:rsidR="004846DB" w:rsidRPr="0040036A">
        <w:rPr>
          <w:sz w:val="32"/>
          <w:szCs w:val="32"/>
        </w:rPr>
        <w:t>1704702</w:t>
      </w:r>
    </w:p>
    <w:p w14:paraId="35E32D5E" w14:textId="5957FDBF" w:rsidR="004D35CA" w:rsidRPr="0040036A" w:rsidRDefault="00E231A6" w:rsidP="004D35CA">
      <w:pPr>
        <w:pStyle w:val="3GPPHeader"/>
      </w:pPr>
      <w:r>
        <w:t xml:space="preserve">Hangzhou, </w:t>
      </w:r>
      <w:r w:rsidR="004D35CA" w:rsidRPr="0040036A">
        <w:t>China, 15</w:t>
      </w:r>
      <w:r w:rsidR="004D35CA" w:rsidRPr="0040036A">
        <w:rPr>
          <w:vertAlign w:val="superscript"/>
        </w:rPr>
        <w:t>th</w:t>
      </w:r>
      <w:r w:rsidR="004D35CA" w:rsidRPr="0040036A">
        <w:t xml:space="preserve"> – 19</w:t>
      </w:r>
      <w:r w:rsidR="004D35CA" w:rsidRPr="0040036A">
        <w:rPr>
          <w:vertAlign w:val="superscript"/>
        </w:rPr>
        <w:t>th</w:t>
      </w:r>
      <w:r w:rsidR="004D35CA" w:rsidRPr="0040036A">
        <w:t xml:space="preserve"> May 2017</w:t>
      </w:r>
    </w:p>
    <w:p w14:paraId="675033A1" w14:textId="77777777" w:rsidR="004D35CA" w:rsidRPr="0040036A" w:rsidRDefault="004D35CA" w:rsidP="004D35CA">
      <w:pPr>
        <w:pStyle w:val="3GPPHeader"/>
      </w:pPr>
    </w:p>
    <w:p w14:paraId="0AD9A872" w14:textId="0582A871" w:rsidR="004D35CA" w:rsidRPr="00956F13" w:rsidRDefault="004D35CA" w:rsidP="004D35CA">
      <w:pPr>
        <w:pStyle w:val="3GPPHeader"/>
        <w:rPr>
          <w:sz w:val="22"/>
          <w:szCs w:val="22"/>
          <w:lang w:val="en-US"/>
        </w:rPr>
      </w:pPr>
      <w:r w:rsidRPr="0040036A">
        <w:rPr>
          <w:sz w:val="22"/>
          <w:szCs w:val="22"/>
          <w:lang w:val="en-US"/>
        </w:rPr>
        <w:t>Agenda Item:</w:t>
      </w:r>
      <w:r w:rsidRPr="0040036A">
        <w:rPr>
          <w:sz w:val="22"/>
          <w:szCs w:val="22"/>
          <w:lang w:val="en-US"/>
        </w:rPr>
        <w:tab/>
      </w:r>
      <w:r w:rsidR="004846DB" w:rsidRPr="0040036A">
        <w:rPr>
          <w:sz w:val="22"/>
          <w:szCs w:val="22"/>
          <w:lang w:val="en-US"/>
        </w:rPr>
        <w:t>10.2.3</w:t>
      </w:r>
    </w:p>
    <w:p w14:paraId="5B1FC1AE" w14:textId="77777777" w:rsidR="004D35CA" w:rsidRPr="008C7695" w:rsidRDefault="004D35CA" w:rsidP="004D35CA">
      <w:pPr>
        <w:pStyle w:val="3GPPHeader"/>
        <w:rPr>
          <w:sz w:val="22"/>
          <w:szCs w:val="22"/>
        </w:rPr>
      </w:pPr>
      <w:r w:rsidRPr="008C7695">
        <w:rPr>
          <w:sz w:val="22"/>
          <w:szCs w:val="22"/>
        </w:rPr>
        <w:t>Source:</w:t>
      </w:r>
      <w:r w:rsidRPr="008C7695">
        <w:rPr>
          <w:sz w:val="22"/>
          <w:szCs w:val="22"/>
        </w:rPr>
        <w:tab/>
        <w:t>Ericsson</w:t>
      </w:r>
    </w:p>
    <w:p w14:paraId="0C80F3BD" w14:textId="38D8208F" w:rsidR="002D5FB1" w:rsidRPr="008C7695" w:rsidRDefault="002D5FB1" w:rsidP="002D5FB1">
      <w:pPr>
        <w:pStyle w:val="3GPPHeader"/>
        <w:rPr>
          <w:sz w:val="22"/>
          <w:szCs w:val="22"/>
        </w:rPr>
      </w:pPr>
      <w:r w:rsidRPr="008C7695">
        <w:rPr>
          <w:sz w:val="22"/>
          <w:szCs w:val="22"/>
        </w:rPr>
        <w:t>Title:</w:t>
      </w:r>
      <w:r w:rsidRPr="008C7695">
        <w:rPr>
          <w:sz w:val="22"/>
          <w:szCs w:val="22"/>
        </w:rPr>
        <w:tab/>
      </w:r>
      <w:r w:rsidR="00B104D7">
        <w:rPr>
          <w:sz w:val="22"/>
          <w:szCs w:val="22"/>
        </w:rPr>
        <w:t>M</w:t>
      </w:r>
      <w:r w:rsidR="00C30E7E" w:rsidRPr="00C30E7E">
        <w:rPr>
          <w:sz w:val="22"/>
          <w:szCs w:val="22"/>
        </w:rPr>
        <w:t>easureme</w:t>
      </w:r>
      <w:bookmarkStart w:id="0" w:name="_GoBack"/>
      <w:bookmarkEnd w:id="0"/>
      <w:r w:rsidR="00C30E7E" w:rsidRPr="00C30E7E">
        <w:rPr>
          <w:sz w:val="22"/>
          <w:szCs w:val="22"/>
        </w:rPr>
        <w:t>nt</w:t>
      </w:r>
      <w:r w:rsidR="00B104D7">
        <w:rPr>
          <w:sz w:val="22"/>
          <w:szCs w:val="22"/>
        </w:rPr>
        <w:t>s and procedures for EN-DC</w:t>
      </w:r>
    </w:p>
    <w:p w14:paraId="4A134FFC" w14:textId="77777777" w:rsidR="002D5FB1" w:rsidRPr="008C7695" w:rsidRDefault="002D5FB1" w:rsidP="002D5FB1">
      <w:pPr>
        <w:pStyle w:val="3GPPHeader"/>
        <w:rPr>
          <w:sz w:val="22"/>
          <w:szCs w:val="22"/>
        </w:rPr>
      </w:pPr>
      <w:r w:rsidRPr="008C7695">
        <w:rPr>
          <w:sz w:val="22"/>
          <w:szCs w:val="22"/>
        </w:rPr>
        <w:t>Document for:</w:t>
      </w:r>
      <w:r w:rsidRPr="008C7695">
        <w:rPr>
          <w:sz w:val="22"/>
          <w:szCs w:val="22"/>
        </w:rPr>
        <w:tab/>
        <w:t>Discussion, Decision</w:t>
      </w:r>
    </w:p>
    <w:p w14:paraId="61F04FF9" w14:textId="77777777" w:rsidR="002D5FB1" w:rsidRPr="008C7695" w:rsidRDefault="002D5FB1" w:rsidP="002D5FB1"/>
    <w:p w14:paraId="5B38E84F" w14:textId="77777777" w:rsidR="002D5FB1" w:rsidRPr="008C7695" w:rsidRDefault="002D5FB1" w:rsidP="002D5FB1">
      <w:pPr>
        <w:pStyle w:val="Heading1"/>
        <w:numPr>
          <w:ilvl w:val="0"/>
          <w:numId w:val="16"/>
        </w:numPr>
        <w:textAlignment w:val="auto"/>
      </w:pPr>
      <w:r w:rsidRPr="008C7695">
        <w:t>Introduction</w:t>
      </w:r>
    </w:p>
    <w:p w14:paraId="31350B46" w14:textId="77777777" w:rsidR="002D5FB1" w:rsidRPr="001D2098" w:rsidRDefault="002D5FB1" w:rsidP="002D5FB1">
      <w:pPr>
        <w:pStyle w:val="Doc-text2"/>
        <w:tabs>
          <w:tab w:val="left" w:pos="720"/>
        </w:tabs>
        <w:ind w:left="0" w:firstLine="0"/>
        <w:rPr>
          <w:rFonts w:ascii="Arial" w:eastAsia="Times New Roman" w:hAnsi="Arial" w:cs="Arial"/>
          <w:sz w:val="20"/>
          <w:szCs w:val="20"/>
          <w:lang w:val="en-US" w:eastAsia="zh-CN"/>
        </w:rPr>
      </w:pPr>
      <w:r w:rsidRPr="001D2098">
        <w:rPr>
          <w:rFonts w:ascii="Arial" w:eastAsia="Times New Roman" w:hAnsi="Arial" w:cs="Arial"/>
          <w:sz w:val="20"/>
          <w:szCs w:val="20"/>
          <w:lang w:val="en-US" w:eastAsia="zh-CN"/>
        </w:rPr>
        <w:t>In 3GPP TSG-RAN WG2 NR Ad Hoc, the following agreements have been made:</w:t>
      </w:r>
    </w:p>
    <w:p w14:paraId="5AFE3779" w14:textId="77777777" w:rsidR="002D5FB1" w:rsidRPr="001D2098" w:rsidRDefault="002D5FB1" w:rsidP="002D5FB1">
      <w:pPr>
        <w:pStyle w:val="Doc-text2"/>
        <w:tabs>
          <w:tab w:val="left" w:pos="720"/>
        </w:tabs>
        <w:ind w:left="142" w:firstLine="0"/>
        <w:rPr>
          <w:rFonts w:ascii="Arial" w:hAnsi="Arial" w:cs="Arial"/>
          <w:sz w:val="20"/>
          <w:szCs w:val="20"/>
        </w:rPr>
      </w:pPr>
    </w:p>
    <w:p w14:paraId="65A2FBE4"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Agreements:</w:t>
      </w:r>
    </w:p>
    <w:p w14:paraId="38A638FD"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1: For initial configuration of LTE/NR tight interworking, the measurement configuration used by the UE should be configured by the master node.</w:t>
      </w:r>
    </w:p>
    <w:p w14:paraId="5BE50F9C"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2: For the LTE/NR tight interworking, the intra-secondary node mobility (including PSCell change and SCell release/addition) should be managed by the secondary node itself. At least in some cases, the master node needs to be informed of intra-secondary node mobility.</w:t>
      </w:r>
    </w:p>
    <w:p w14:paraId="7D94BB5F"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3: For the LTE/NR tight interworking, the measurement configuration used by the UE the intra-secondary node mobility should be managed by the secondary node. At least in some cases, coordination with the master is required.</w:t>
      </w:r>
    </w:p>
    <w:p w14:paraId="4DE51456"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4: Take the triggering of CP procedure listed below as baseline for the LTE/NR tight interworking:</w:t>
      </w:r>
    </w:p>
    <w:p w14:paraId="684A0593"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 Secondary Node Addition procedure: Triggered by master node.</w:t>
      </w:r>
    </w:p>
    <w:p w14:paraId="7AC4CC8A"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 Secondary Node Release procedure: Triggered by both master node and secondary node.</w:t>
      </w:r>
    </w:p>
    <w:p w14:paraId="6AE7B8CD"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FFS Whether the secondary node or master node triggers change of secondary node</w:t>
      </w:r>
    </w:p>
    <w:p w14:paraId="56A97540"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 Intra-secondary node mobility: Triggered by secondary node.</w:t>
      </w:r>
    </w:p>
    <w:p w14:paraId="3E03FDEE"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 Addition/Release of SCell within secondary node: Triggered by secondary node.</w:t>
      </w:r>
    </w:p>
    <w:p w14:paraId="3A315998" w14:textId="77777777" w:rsidR="002D5FB1" w:rsidRPr="001D2098" w:rsidRDefault="002D5FB1" w:rsidP="002D5FB1">
      <w:pPr>
        <w:pStyle w:val="Doc-text2"/>
        <w:tabs>
          <w:tab w:val="left" w:pos="720"/>
        </w:tabs>
        <w:ind w:left="142" w:firstLine="0"/>
        <w:rPr>
          <w:rFonts w:ascii="Arial" w:hAnsi="Arial" w:cs="Arial"/>
          <w:sz w:val="20"/>
          <w:szCs w:val="20"/>
        </w:rPr>
      </w:pPr>
    </w:p>
    <w:p w14:paraId="1246F6A9" w14:textId="1C7BAADA" w:rsidR="002D5FB1" w:rsidRPr="001D2098" w:rsidRDefault="004D35CA" w:rsidP="002D5FB1">
      <w:pPr>
        <w:pStyle w:val="Doc-text2"/>
        <w:tabs>
          <w:tab w:val="left" w:pos="720"/>
        </w:tabs>
        <w:ind w:left="0" w:firstLine="0"/>
        <w:rPr>
          <w:rFonts w:ascii="Arial" w:eastAsia="Times New Roman" w:hAnsi="Arial" w:cs="Arial"/>
          <w:sz w:val="20"/>
          <w:szCs w:val="20"/>
          <w:lang w:val="en-US" w:eastAsia="zh-CN"/>
        </w:rPr>
      </w:pPr>
      <w:r>
        <w:rPr>
          <w:rFonts w:ascii="Arial" w:eastAsia="Times New Roman" w:hAnsi="Arial" w:cs="Arial"/>
          <w:sz w:val="20"/>
          <w:szCs w:val="20"/>
          <w:lang w:val="en-US" w:eastAsia="zh-CN"/>
        </w:rPr>
        <w:t>Next, i</w:t>
      </w:r>
      <w:r w:rsidR="002D5FB1" w:rsidRPr="001D2098">
        <w:rPr>
          <w:rFonts w:ascii="Arial" w:eastAsia="Times New Roman" w:hAnsi="Arial" w:cs="Arial"/>
          <w:sz w:val="20"/>
          <w:szCs w:val="20"/>
          <w:lang w:val="en-US" w:eastAsia="zh-CN"/>
        </w:rPr>
        <w:t>n 3GPP TSG-RAN WG2#97, the following agreements have been made:</w:t>
      </w:r>
    </w:p>
    <w:p w14:paraId="47716E16" w14:textId="77777777" w:rsidR="002D5FB1" w:rsidRPr="001D2098" w:rsidRDefault="002D5FB1" w:rsidP="002D5FB1">
      <w:pPr>
        <w:pStyle w:val="Doc-text2"/>
        <w:tabs>
          <w:tab w:val="left" w:pos="720"/>
        </w:tabs>
        <w:ind w:left="0" w:firstLine="0"/>
        <w:rPr>
          <w:rFonts w:ascii="Arial" w:eastAsia="Times New Roman" w:hAnsi="Arial" w:cs="Arial"/>
          <w:sz w:val="20"/>
          <w:szCs w:val="20"/>
          <w:lang w:val="en-US" w:eastAsia="zh-CN"/>
        </w:rPr>
      </w:pPr>
    </w:p>
    <w:p w14:paraId="659920C6" w14:textId="34C2924C" w:rsidR="002D5FB1" w:rsidRPr="001D2098" w:rsidRDefault="002D5FB1" w:rsidP="001D2098">
      <w:pPr>
        <w:pBdr>
          <w:top w:val="single" w:sz="4" w:space="1" w:color="000000"/>
          <w:left w:val="single" w:sz="4" w:space="4" w:color="000000"/>
          <w:bottom w:val="single" w:sz="4" w:space="1" w:color="000000"/>
          <w:right w:val="single" w:sz="4" w:space="4" w:color="000000"/>
        </w:pBdr>
        <w:ind w:left="142"/>
        <w:rPr>
          <w:rFonts w:cs="Arial"/>
          <w:lang w:eastAsia="en-GB"/>
        </w:rPr>
      </w:pPr>
      <w:r w:rsidRPr="001D2098">
        <w:rPr>
          <w:rFonts w:cs="Arial"/>
          <w:lang w:eastAsia="en-GB"/>
        </w:rPr>
        <w:t>Agreements</w:t>
      </w:r>
      <w:r w:rsidR="004D35CA">
        <w:rPr>
          <w:rFonts w:cs="Arial"/>
          <w:lang w:eastAsia="en-GB"/>
        </w:rPr>
        <w:t>:</w:t>
      </w:r>
      <w:r w:rsidRPr="001D2098">
        <w:rPr>
          <w:rFonts w:cs="Arial"/>
          <w:lang w:eastAsia="en-GB"/>
        </w:rPr>
        <w:br/>
        <w:t>1: Secondary node initiates the secondary node change procedure in the connected active mode.</w:t>
      </w:r>
      <w:r w:rsidRPr="001D2098">
        <w:rPr>
          <w:rFonts w:cs="Arial"/>
          <w:lang w:eastAsia="en-GB"/>
        </w:rPr>
        <w:br/>
        <w:t>2: In some cases the MN is involved and takes final decision before the secondary node change occurs. FFS whether the MN needs to be involved for other cases (e.g. SN cell change without PDCP change)</w:t>
      </w:r>
      <w:r w:rsidRPr="001D2098">
        <w:rPr>
          <w:rFonts w:cs="Arial"/>
          <w:lang w:eastAsia="en-GB"/>
        </w:rPr>
        <w:br/>
        <w:t>3: The RRM measurement configuration for secondary node change is maintained by secondary node and also processes measurement reports.</w:t>
      </w:r>
      <w:r w:rsidRPr="001D2098">
        <w:rPr>
          <w:rFonts w:cs="Arial"/>
          <w:lang w:eastAsia="en-GB"/>
        </w:rPr>
        <w:br/>
        <w:t>FFS: what additional information can be provided from the SN to the MN when the SN change is initiated.</w:t>
      </w:r>
      <w:r w:rsidRPr="001D2098">
        <w:rPr>
          <w:rFonts w:cs="Arial"/>
          <w:lang w:eastAsia="en-GB"/>
        </w:rPr>
        <w:br/>
        <w:t>FFS: Whether master node can also initiate secondary node change procedure (e.g. inter-freq HO for load balancing reasons)</w:t>
      </w:r>
    </w:p>
    <w:p w14:paraId="1236ECD7" w14:textId="25590ADD" w:rsidR="004D35CA" w:rsidRPr="001D2098" w:rsidRDefault="004D35CA" w:rsidP="004D35CA">
      <w:pPr>
        <w:pStyle w:val="Doc-text2"/>
        <w:tabs>
          <w:tab w:val="left" w:pos="720"/>
        </w:tabs>
        <w:ind w:left="0" w:firstLine="0"/>
        <w:rPr>
          <w:rFonts w:ascii="Arial" w:eastAsia="Times New Roman" w:hAnsi="Arial" w:cs="Arial"/>
          <w:sz w:val="20"/>
          <w:szCs w:val="20"/>
          <w:lang w:val="en-US" w:eastAsia="zh-CN"/>
        </w:rPr>
      </w:pPr>
      <w:r>
        <w:rPr>
          <w:rFonts w:cs="Arial"/>
        </w:rPr>
        <w:t xml:space="preserve">During the last meeting, </w:t>
      </w:r>
      <w:r w:rsidRPr="001D2098">
        <w:rPr>
          <w:rFonts w:ascii="Arial" w:eastAsia="Times New Roman" w:hAnsi="Arial" w:cs="Arial"/>
          <w:sz w:val="20"/>
          <w:szCs w:val="20"/>
          <w:lang w:val="en-US" w:eastAsia="zh-CN"/>
        </w:rPr>
        <w:t>3GPP TSG-RAN WG2#97</w:t>
      </w:r>
      <w:r>
        <w:rPr>
          <w:rFonts w:ascii="Arial" w:eastAsia="Times New Roman" w:hAnsi="Arial" w:cs="Arial"/>
          <w:sz w:val="20"/>
          <w:szCs w:val="20"/>
          <w:lang w:val="en-US" w:eastAsia="zh-CN"/>
        </w:rPr>
        <w:t>bis</w:t>
      </w:r>
      <w:r w:rsidRPr="001D2098">
        <w:rPr>
          <w:rFonts w:ascii="Arial" w:eastAsia="Times New Roman" w:hAnsi="Arial" w:cs="Arial"/>
          <w:sz w:val="20"/>
          <w:szCs w:val="20"/>
          <w:lang w:val="en-US" w:eastAsia="zh-CN"/>
        </w:rPr>
        <w:t>, the following agreements have been made:</w:t>
      </w:r>
    </w:p>
    <w:p w14:paraId="1C083FF8" w14:textId="77777777" w:rsidR="004D35CA" w:rsidRPr="001D2098" w:rsidRDefault="004D35CA" w:rsidP="004D35CA">
      <w:pPr>
        <w:pStyle w:val="Doc-text2"/>
        <w:tabs>
          <w:tab w:val="left" w:pos="720"/>
        </w:tabs>
        <w:ind w:left="0" w:firstLine="0"/>
        <w:rPr>
          <w:rFonts w:ascii="Arial" w:eastAsia="Times New Roman" w:hAnsi="Arial" w:cs="Arial"/>
          <w:sz w:val="20"/>
          <w:szCs w:val="20"/>
          <w:lang w:val="en-US" w:eastAsia="zh-CN"/>
        </w:rPr>
      </w:pPr>
    </w:p>
    <w:p w14:paraId="038AD135" w14:textId="77777777" w:rsidR="004D35CA" w:rsidRPr="004D35CA"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4D35CA">
        <w:rPr>
          <w:rFonts w:cs="Arial"/>
          <w:lang w:eastAsia="en-GB"/>
        </w:rPr>
        <w:t>Agreements:</w:t>
      </w:r>
    </w:p>
    <w:p w14:paraId="7F8895FF" w14:textId="77777777" w:rsidR="004D35CA" w:rsidRPr="004D35CA"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4D35CA">
        <w:rPr>
          <w:rFonts w:cs="Arial"/>
          <w:lang w:eastAsia="en-GB"/>
        </w:rPr>
        <w:t>1: The master node could initiate the intra-secondary node change for the following purposes: bearer type change, security key update, inter-MeNB handover without secondary node change.</w:t>
      </w:r>
    </w:p>
    <w:p w14:paraId="35EF5D3C" w14:textId="77777777" w:rsidR="004D35CA" w:rsidRPr="004D35CA" w:rsidRDefault="004D35CA" w:rsidP="00735E01">
      <w:pPr>
        <w:pBdr>
          <w:top w:val="single" w:sz="4" w:space="1" w:color="000000"/>
          <w:left w:val="single" w:sz="4" w:space="4" w:color="000000"/>
          <w:bottom w:val="single" w:sz="4" w:space="1" w:color="000000"/>
          <w:right w:val="single" w:sz="4" w:space="4" w:color="000000"/>
        </w:pBdr>
        <w:spacing w:after="0"/>
        <w:ind w:left="142"/>
        <w:rPr>
          <w:rFonts w:cs="Arial"/>
          <w:lang w:eastAsia="en-GB"/>
        </w:rPr>
      </w:pPr>
    </w:p>
    <w:p w14:paraId="3AD89B8B" w14:textId="77777777" w:rsidR="004D35CA" w:rsidRPr="004D35CA"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4D35CA">
        <w:rPr>
          <w:rFonts w:cs="Arial"/>
          <w:lang w:eastAsia="en-GB"/>
        </w:rPr>
        <w:t>Agreements:</w:t>
      </w:r>
    </w:p>
    <w:p w14:paraId="22D3E7AF" w14:textId="77777777" w:rsidR="004D35CA" w:rsidRPr="004D35CA"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4D35CA">
        <w:rPr>
          <w:rFonts w:cs="Arial"/>
          <w:lang w:eastAsia="en-GB"/>
        </w:rPr>
        <w:lastRenderedPageBreak/>
        <w:t>1: 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p>
    <w:p w14:paraId="366BE34A"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1a: MN can also trigger an inter-frequency  the SN node change without any request from the SN.</w:t>
      </w:r>
    </w:p>
    <w:p w14:paraId="63FB68FE"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 xml:space="preserve">2: </w:t>
      </w:r>
      <w:r w:rsidRPr="00735E01">
        <w:rPr>
          <w:rFonts w:cs="Arial"/>
          <w:lang w:eastAsia="en-GB"/>
        </w:rPr>
        <w:tab/>
        <w:t>Final RRC message for the inter-SN change will be generated from master node</w:t>
      </w:r>
    </w:p>
    <w:p w14:paraId="3EF7D3AE"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3:</w:t>
      </w:r>
      <w:r w:rsidRPr="00735E01">
        <w:rPr>
          <w:rFonts w:cs="Arial"/>
          <w:lang w:eastAsia="en-GB"/>
        </w:rPr>
        <w:tab/>
        <w:t>SN does not provide the NR measurement results to the MN;</w:t>
      </w:r>
    </w:p>
    <w:p w14:paraId="44809A45"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FFS: UE can be configured with MN NR measurement configuration and SN NR measurement configuration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14:paraId="14AB1DAA"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FFS on how to coordinate the NR measurement configuration between MN and SN;</w:t>
      </w:r>
    </w:p>
    <w:p w14:paraId="039DB903"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FFS how to allow the MN to perform inter-RAT measurement for potential handover to the serving SN frequency.</w:t>
      </w:r>
    </w:p>
    <w:p w14:paraId="54CF48AF" w14:textId="77777777" w:rsidR="004D35CA" w:rsidRPr="00735E01" w:rsidRDefault="004D35CA" w:rsidP="00735E01">
      <w:pPr>
        <w:pBdr>
          <w:top w:val="single" w:sz="4" w:space="1" w:color="000000"/>
          <w:left w:val="single" w:sz="4" w:space="4" w:color="000000"/>
          <w:bottom w:val="single" w:sz="4" w:space="1" w:color="000000"/>
          <w:right w:val="single" w:sz="4" w:space="4" w:color="000000"/>
        </w:pBdr>
        <w:spacing w:after="0"/>
        <w:ind w:left="142"/>
        <w:rPr>
          <w:rFonts w:cs="Arial"/>
          <w:lang w:eastAsia="en-GB"/>
        </w:rPr>
      </w:pPr>
    </w:p>
    <w:p w14:paraId="2F243BF0"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Agreements:</w:t>
      </w:r>
    </w:p>
    <w:p w14:paraId="1C1C4247"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1: Secondary Node Addition is used when there is no SN configured and is only initiated by the MN.</w:t>
      </w:r>
    </w:p>
    <w:p w14:paraId="03275A57"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2: The recipient node of SN Release cannot reject the request.</w:t>
      </w:r>
    </w:p>
    <w:p w14:paraId="17C16618"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3: Intra-SN mobility can trigger a SN modification request by the SN to MN.</w:t>
      </w:r>
    </w:p>
    <w:p w14:paraId="717659D2" w14:textId="77777777" w:rsidR="004D35CA" w:rsidRPr="004D35CA"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FFS which scenarios require MN involvement and which don't.</w:t>
      </w:r>
    </w:p>
    <w:p w14:paraId="6460B97C" w14:textId="77777777" w:rsidR="004D35CA" w:rsidRPr="004D35CA"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4D35CA">
        <w:rPr>
          <w:rFonts w:cs="Arial"/>
          <w:lang w:eastAsia="en-GB"/>
        </w:rPr>
        <w:t>4: For LTE-NR DC, MN handover can happen without SN node change.</w:t>
      </w:r>
    </w:p>
    <w:p w14:paraId="6DB8AEF9" w14:textId="77777777" w:rsidR="004D35CA" w:rsidRPr="004D35CA" w:rsidRDefault="004D35CA" w:rsidP="00735E01">
      <w:pPr>
        <w:pBdr>
          <w:top w:val="single" w:sz="4" w:space="1" w:color="000000"/>
          <w:left w:val="single" w:sz="4" w:space="4" w:color="000000"/>
          <w:bottom w:val="single" w:sz="4" w:space="1" w:color="000000"/>
          <w:right w:val="single" w:sz="4" w:space="4" w:color="000000"/>
        </w:pBdr>
        <w:spacing w:after="0"/>
        <w:ind w:left="142"/>
        <w:rPr>
          <w:rFonts w:cs="Arial"/>
          <w:lang w:eastAsia="en-GB"/>
        </w:rPr>
      </w:pPr>
    </w:p>
    <w:p w14:paraId="611D79FF" w14:textId="77777777" w:rsidR="004D35CA" w:rsidRPr="004D35CA"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4D35CA">
        <w:rPr>
          <w:rFonts w:cs="Arial"/>
          <w:lang w:eastAsia="en-GB"/>
        </w:rPr>
        <w:t>Agreements:</w:t>
      </w:r>
    </w:p>
    <w:p w14:paraId="42DE0913" w14:textId="77777777" w:rsidR="004D35CA" w:rsidRPr="001D2098"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4D35CA">
        <w:rPr>
          <w:rFonts w:cs="Arial"/>
          <w:lang w:eastAsia="en-GB"/>
        </w:rPr>
        <w:t>1: The MN should be involved in the SN cell change without PDCP change at least in the case where the UE capability coordination is required due to SN cell reconfiguration. (e.g. NR SCell change may require UE capability coordination)</w:t>
      </w:r>
    </w:p>
    <w:p w14:paraId="3E8B4384" w14:textId="69FF1546" w:rsidR="002D5FB1" w:rsidRPr="004D35CA" w:rsidRDefault="002D5FB1" w:rsidP="002D5FB1">
      <w:pPr>
        <w:rPr>
          <w:rFonts w:cs="Arial"/>
        </w:rPr>
      </w:pPr>
    </w:p>
    <w:p w14:paraId="7FA9F4E4" w14:textId="426728F2" w:rsidR="002D5FB1" w:rsidRPr="001D2098" w:rsidRDefault="002D5FB1" w:rsidP="002D5FB1">
      <w:pPr>
        <w:pStyle w:val="BodyText"/>
        <w:rPr>
          <w:rFonts w:cs="Arial"/>
          <w:lang w:val="en-US"/>
        </w:rPr>
      </w:pPr>
      <w:r w:rsidRPr="001D2098">
        <w:rPr>
          <w:rFonts w:cs="Arial"/>
          <w:lang w:val="en-US"/>
        </w:rPr>
        <w:t xml:space="preserve">In this contribution, we will be focusing on the remaining </w:t>
      </w:r>
      <w:r w:rsidR="00C30E7E">
        <w:rPr>
          <w:rFonts w:cs="Arial"/>
          <w:lang w:val="en-US"/>
        </w:rPr>
        <w:t>RRM</w:t>
      </w:r>
      <w:r w:rsidR="00735E01">
        <w:rPr>
          <w:rFonts w:cs="Arial"/>
          <w:lang w:val="en-US"/>
        </w:rPr>
        <w:t xml:space="preserve"> </w:t>
      </w:r>
      <w:r w:rsidR="004D35CA">
        <w:rPr>
          <w:rFonts w:cs="Arial"/>
          <w:lang w:val="en-US"/>
        </w:rPr>
        <w:t>issues regarding</w:t>
      </w:r>
      <w:r w:rsidRPr="001D2098">
        <w:rPr>
          <w:rFonts w:cs="Arial"/>
          <w:lang w:val="en-US"/>
        </w:rPr>
        <w:t xml:space="preserve"> </w:t>
      </w:r>
      <w:r w:rsidR="00735E01">
        <w:rPr>
          <w:rFonts w:cs="Arial"/>
          <w:lang w:val="en-US"/>
        </w:rPr>
        <w:t xml:space="preserve">the </w:t>
      </w:r>
      <w:r w:rsidRPr="001D2098">
        <w:rPr>
          <w:rFonts w:cs="Arial"/>
          <w:lang w:val="en-US"/>
        </w:rPr>
        <w:t>LTE-NR tight-interworking</w:t>
      </w:r>
      <w:r w:rsidR="004D35CA">
        <w:rPr>
          <w:rFonts w:cs="Arial"/>
          <w:lang w:val="en-US"/>
        </w:rPr>
        <w:t xml:space="preserve"> procedures</w:t>
      </w:r>
      <w:r w:rsidRPr="001D2098">
        <w:rPr>
          <w:rFonts w:cs="Arial"/>
          <w:lang w:val="en-US"/>
        </w:rPr>
        <w:t xml:space="preserve">. </w:t>
      </w:r>
    </w:p>
    <w:p w14:paraId="3624DC25" w14:textId="77777777" w:rsidR="002D5FB1" w:rsidRPr="008C7695" w:rsidRDefault="002D5FB1" w:rsidP="002D5FB1">
      <w:pPr>
        <w:pStyle w:val="Heading1"/>
        <w:numPr>
          <w:ilvl w:val="0"/>
          <w:numId w:val="16"/>
        </w:numPr>
        <w:textAlignment w:val="auto"/>
      </w:pPr>
      <w:bookmarkStart w:id="1" w:name="_Ref178064866"/>
      <w:r w:rsidRPr="008C7695">
        <w:t>Discussion</w:t>
      </w:r>
      <w:bookmarkEnd w:id="1"/>
    </w:p>
    <w:p w14:paraId="2BE03DC2" w14:textId="45D21C21" w:rsidR="008272CC" w:rsidRDefault="008272CC" w:rsidP="002D5FB1">
      <w:pPr>
        <w:pStyle w:val="BodyText"/>
        <w:rPr>
          <w:lang w:val="en-US"/>
        </w:rPr>
      </w:pPr>
      <w:r>
        <w:rPr>
          <w:lang w:val="en-US"/>
        </w:rPr>
        <w:t xml:space="preserve">The contribution summarizes how the measurement is configured for each LTE-NR tight-interworking procedure and discusses whether independent measurement configuration should be supported. How the measurement reports are mapped to SRBs is discussed in </w:t>
      </w:r>
      <w:r>
        <w:rPr>
          <w:lang w:val="en-US"/>
        </w:rPr>
        <w:fldChar w:fldCharType="begin"/>
      </w:r>
      <w:r>
        <w:rPr>
          <w:lang w:val="en-US"/>
        </w:rPr>
        <w:instrText xml:space="preserve"> REF _Ref481778286 \r \h </w:instrText>
      </w:r>
      <w:r>
        <w:rPr>
          <w:lang w:val="en-US"/>
        </w:rPr>
      </w:r>
      <w:r>
        <w:rPr>
          <w:lang w:val="en-US"/>
        </w:rPr>
        <w:fldChar w:fldCharType="separate"/>
      </w:r>
      <w:r>
        <w:rPr>
          <w:lang w:val="en-US"/>
        </w:rPr>
        <w:t>[1]</w:t>
      </w:r>
      <w:r>
        <w:rPr>
          <w:lang w:val="en-US"/>
        </w:rPr>
        <w:fldChar w:fldCharType="end"/>
      </w:r>
      <w:r>
        <w:rPr>
          <w:lang w:val="en-US"/>
        </w:rPr>
        <w:t>.</w:t>
      </w:r>
    </w:p>
    <w:p w14:paraId="5012EAC6" w14:textId="4DD59384" w:rsidR="002D5FB1" w:rsidRDefault="002D5FB1" w:rsidP="00557C68">
      <w:pPr>
        <w:pStyle w:val="BodyText"/>
      </w:pPr>
      <w:r w:rsidRPr="008C7695">
        <w:rPr>
          <w:lang w:val="en-US"/>
        </w:rPr>
        <w:t>To be able to execute the secondary node addition procedure, there is a need for a certain level of understanding of each other’s measurements and a definition of events to trigger measurement reporting for inter-RAT handover or addition of secondary node.</w:t>
      </w:r>
      <w:r w:rsidR="008D48FA">
        <w:rPr>
          <w:lang w:val="en-US"/>
        </w:rPr>
        <w:t xml:space="preserve"> Thus, </w:t>
      </w:r>
      <w:r w:rsidR="00557C68">
        <w:rPr>
          <w:lang w:val="en-US"/>
        </w:rPr>
        <w:t>the serving node e.g., LTE node</w:t>
      </w:r>
      <w:r w:rsidRPr="008C7695">
        <w:rPr>
          <w:lang w:val="en-US"/>
        </w:rPr>
        <w:t xml:space="preserve"> will be required to maintain </w:t>
      </w:r>
      <w:r w:rsidR="008D48FA">
        <w:rPr>
          <w:lang w:val="en-US"/>
        </w:rPr>
        <w:t xml:space="preserve">the </w:t>
      </w:r>
      <w:r w:rsidRPr="008C7695">
        <w:rPr>
          <w:lang w:val="en-US"/>
        </w:rPr>
        <w:t xml:space="preserve">RRM measurement configuration of the UE to detect when the UE moves </w:t>
      </w:r>
      <w:r w:rsidR="00557C68">
        <w:rPr>
          <w:lang w:val="en-US"/>
        </w:rPr>
        <w:t xml:space="preserve">e.g., </w:t>
      </w:r>
      <w:r w:rsidRPr="008C7695">
        <w:rPr>
          <w:lang w:val="en-US"/>
        </w:rPr>
        <w:t>into NR coverage as in LTE DC case</w:t>
      </w:r>
      <w:r w:rsidR="008272CC">
        <w:rPr>
          <w:lang w:val="en-US"/>
        </w:rPr>
        <w:t xml:space="preserve"> </w:t>
      </w:r>
      <w:r w:rsidR="008272CC">
        <w:rPr>
          <w:lang w:val="en-US"/>
        </w:rPr>
        <w:fldChar w:fldCharType="begin"/>
      </w:r>
      <w:r w:rsidR="008272CC">
        <w:rPr>
          <w:lang w:val="en-US"/>
        </w:rPr>
        <w:instrText xml:space="preserve"> REF _Ref481778301 \r \h </w:instrText>
      </w:r>
      <w:r w:rsidR="008272CC">
        <w:rPr>
          <w:lang w:val="en-US"/>
        </w:rPr>
      </w:r>
      <w:r w:rsidR="008272CC">
        <w:rPr>
          <w:lang w:val="en-US"/>
        </w:rPr>
        <w:fldChar w:fldCharType="separate"/>
      </w:r>
      <w:r w:rsidR="008272CC">
        <w:rPr>
          <w:lang w:val="en-US"/>
        </w:rPr>
        <w:t>[2]</w:t>
      </w:r>
      <w:r w:rsidR="008272CC">
        <w:rPr>
          <w:lang w:val="en-US"/>
        </w:rPr>
        <w:fldChar w:fldCharType="end"/>
      </w:r>
      <w:r w:rsidRPr="008C7695">
        <w:rPr>
          <w:lang w:val="en-US"/>
        </w:rPr>
        <w:t>. This is because the starting point is that the UE has only LTE connectivity, and thus the measurement configuration come</w:t>
      </w:r>
      <w:r w:rsidR="002B054F">
        <w:rPr>
          <w:lang w:val="en-US"/>
        </w:rPr>
        <w:t>s</w:t>
      </w:r>
      <w:r w:rsidRPr="008C7695">
        <w:rPr>
          <w:lang w:val="en-US"/>
        </w:rPr>
        <w:t xml:space="preserve"> via the LTE RRC connection</w:t>
      </w:r>
      <w:r w:rsidR="002B054F">
        <w:rPr>
          <w:lang w:val="en-US"/>
        </w:rPr>
        <w:t xml:space="preserve"> i.e.</w:t>
      </w:r>
      <w:r w:rsidR="008D48FA">
        <w:rPr>
          <w:lang w:val="en-US"/>
        </w:rPr>
        <w:t xml:space="preserve">, </w:t>
      </w:r>
      <w:r w:rsidR="007D33C1">
        <w:rPr>
          <w:lang w:val="en-US"/>
        </w:rPr>
        <w:t>LTE</w:t>
      </w:r>
      <w:r w:rsidR="008D48FA">
        <w:rPr>
          <w:lang w:val="en-US"/>
        </w:rPr>
        <w:t xml:space="preserve"> SRB when LTE is </w:t>
      </w:r>
      <w:r w:rsidR="00557C68">
        <w:rPr>
          <w:lang w:val="en-US"/>
        </w:rPr>
        <w:t>the serving node</w:t>
      </w:r>
      <w:r w:rsidR="002B054F">
        <w:rPr>
          <w:lang w:val="en-US"/>
        </w:rPr>
        <w:t>,</w:t>
      </w:r>
      <w:r w:rsidRPr="008C7695">
        <w:rPr>
          <w:lang w:val="en-US"/>
        </w:rPr>
        <w:t xml:space="preserve"> as </w:t>
      </w:r>
      <w:r w:rsidR="008D48FA">
        <w:rPr>
          <w:lang w:val="en-US"/>
        </w:rPr>
        <w:t xml:space="preserve">earlier </w:t>
      </w:r>
      <w:r w:rsidRPr="008C7695">
        <w:rPr>
          <w:lang w:val="en-US"/>
        </w:rPr>
        <w:t xml:space="preserve">agreed </w:t>
      </w:r>
      <w:r w:rsidR="008D48FA">
        <w:rPr>
          <w:lang w:val="en-US"/>
        </w:rPr>
        <w:t>by</w:t>
      </w:r>
      <w:r w:rsidR="00EC7442">
        <w:rPr>
          <w:lang w:val="en-US"/>
        </w:rPr>
        <w:t xml:space="preserve"> RAN2</w:t>
      </w:r>
      <w:r w:rsidRPr="008C7695">
        <w:rPr>
          <w:lang w:val="en-US"/>
        </w:rPr>
        <w:t>.</w:t>
      </w:r>
      <w:r w:rsidR="002B054F">
        <w:rPr>
          <w:lang w:val="en-US"/>
        </w:rPr>
        <w:t xml:space="preserve"> Based on this measurement configuration,</w:t>
      </w:r>
      <w:r w:rsidR="002B054F" w:rsidRPr="002B054F">
        <w:rPr>
          <w:lang w:val="en-US"/>
        </w:rPr>
        <w:t xml:space="preserve"> UE delivers </w:t>
      </w:r>
      <w:r w:rsidR="00557C68">
        <w:rPr>
          <w:lang w:val="en-US"/>
        </w:rPr>
        <w:t>the LTE node</w:t>
      </w:r>
      <w:r w:rsidR="002B054F">
        <w:rPr>
          <w:lang w:val="en-US"/>
        </w:rPr>
        <w:t xml:space="preserve"> the </w:t>
      </w:r>
      <w:r w:rsidR="002B054F" w:rsidRPr="002B054F">
        <w:rPr>
          <w:lang w:val="en-US"/>
        </w:rPr>
        <w:t>measurement reports</w:t>
      </w:r>
      <w:r w:rsidR="002B054F">
        <w:rPr>
          <w:lang w:val="en-US"/>
        </w:rPr>
        <w:t xml:space="preserve"> </w:t>
      </w:r>
      <w:r w:rsidR="002B054F" w:rsidRPr="002B054F">
        <w:rPr>
          <w:lang w:val="en-US"/>
        </w:rPr>
        <w:t xml:space="preserve">via the </w:t>
      </w:r>
      <w:r w:rsidR="008272CC">
        <w:rPr>
          <w:lang w:val="en-US"/>
        </w:rPr>
        <w:t>LTE</w:t>
      </w:r>
      <w:r w:rsidR="002B054F" w:rsidRPr="002B054F">
        <w:rPr>
          <w:lang w:val="en-US"/>
        </w:rPr>
        <w:t xml:space="preserve"> SRB</w:t>
      </w:r>
      <w:r w:rsidR="008272CC">
        <w:rPr>
          <w:lang w:val="en-US"/>
        </w:rPr>
        <w:t xml:space="preserve"> </w:t>
      </w:r>
      <w:r w:rsidR="00557C68">
        <w:rPr>
          <w:lang w:val="en-US"/>
        </w:rPr>
        <w:t>and LTE node</w:t>
      </w:r>
      <w:r w:rsidR="002B054F">
        <w:rPr>
          <w:lang w:val="en-US"/>
        </w:rPr>
        <w:t xml:space="preserve"> </w:t>
      </w:r>
      <w:r w:rsidR="002B054F" w:rsidRPr="002B054F">
        <w:rPr>
          <w:lang w:val="en-US"/>
        </w:rPr>
        <w:t>trigger</w:t>
      </w:r>
      <w:r w:rsidR="002B054F">
        <w:rPr>
          <w:lang w:val="en-US"/>
        </w:rPr>
        <w:t>s the secondary node addition</w:t>
      </w:r>
      <w:r w:rsidR="002B054F" w:rsidRPr="002B054F">
        <w:rPr>
          <w:lang w:val="en-US"/>
        </w:rPr>
        <w:t>.</w:t>
      </w:r>
      <w:r w:rsidRPr="008C7695">
        <w:rPr>
          <w:lang w:val="en-US"/>
        </w:rPr>
        <w:t xml:space="preserve"> </w:t>
      </w:r>
      <w:r w:rsidR="00E87488">
        <w:t>The example for the secondary node addition procedure is illustrated in Figure 1.</w:t>
      </w:r>
    </w:p>
    <w:p w14:paraId="15890666" w14:textId="77777777" w:rsidR="00557C68" w:rsidRPr="00557C68" w:rsidRDefault="00557C68" w:rsidP="00557C68">
      <w:pPr>
        <w:pStyle w:val="BodyText"/>
        <w:rPr>
          <w:lang w:val="en-US"/>
        </w:rPr>
      </w:pPr>
    </w:p>
    <w:p w14:paraId="00C5A0E0" w14:textId="6D1E3B4E" w:rsidR="002D5FB1" w:rsidRPr="008C7695" w:rsidRDefault="002B054F" w:rsidP="002D5FB1">
      <w:pPr>
        <w:jc w:val="center"/>
      </w:pPr>
      <w:r>
        <w:rPr>
          <w:noProof/>
          <w:lang w:val="fi-FI" w:eastAsia="fi-FI"/>
        </w:rPr>
        <w:lastRenderedPageBreak/>
        <w:drawing>
          <wp:inline distT="0" distB="0" distL="0" distR="0" wp14:anchorId="68490F8A" wp14:editId="5CE852F1">
            <wp:extent cx="6322060" cy="3987165"/>
            <wp:effectExtent l="0" t="0" r="254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2060" cy="3987165"/>
                    </a:xfrm>
                    <a:prstGeom prst="rect">
                      <a:avLst/>
                    </a:prstGeom>
                    <a:noFill/>
                  </pic:spPr>
                </pic:pic>
              </a:graphicData>
            </a:graphic>
          </wp:inline>
        </w:drawing>
      </w:r>
    </w:p>
    <w:p w14:paraId="38B956EA" w14:textId="4182C542" w:rsidR="002D5FB1" w:rsidRDefault="002D5FB1" w:rsidP="002D5FB1">
      <w:pPr>
        <w:pStyle w:val="TF"/>
        <w:rPr>
          <w:lang w:eastAsia="ja-JP"/>
        </w:rPr>
      </w:pPr>
      <w:r w:rsidRPr="008C7695">
        <w:rPr>
          <w:lang w:eastAsia="ja-JP"/>
        </w:rPr>
        <w:t>Figure 1: SgNB addition in case of LTE-NR interworking</w:t>
      </w:r>
    </w:p>
    <w:p w14:paraId="337D76F5" w14:textId="49C968D1" w:rsidR="006B0228" w:rsidRDefault="00802253" w:rsidP="004846DB">
      <w:pPr>
        <w:pStyle w:val="BodyText"/>
      </w:pPr>
      <w:r>
        <w:t>The secondary node can initiate the</w:t>
      </w:r>
      <w:r w:rsidR="00936388">
        <w:t xml:space="preserve"> secondary node modification,</w:t>
      </w:r>
      <w:r>
        <w:t xml:space="preserve"> change</w:t>
      </w:r>
      <w:r w:rsidR="00936388">
        <w:t xml:space="preserve"> and release</w:t>
      </w:r>
      <w:r>
        <w:t xml:space="preserve"> procedures</w:t>
      </w:r>
      <w:r w:rsidR="002D5FB1" w:rsidRPr="008C7695">
        <w:t xml:space="preserve">. </w:t>
      </w:r>
      <w:r>
        <w:t>Accordingly, m</w:t>
      </w:r>
      <w:r w:rsidR="00B02B15">
        <w:t xml:space="preserve">easurement configuration </w:t>
      </w:r>
      <w:r w:rsidR="006B0228">
        <w:t>should</w:t>
      </w:r>
      <w:r w:rsidR="002D5FB1" w:rsidRPr="008C7695">
        <w:t xml:space="preserve"> be controlled by the secondary node</w:t>
      </w:r>
      <w:r w:rsidR="006B0228">
        <w:t xml:space="preserve"> if the triggering node is SN</w:t>
      </w:r>
      <w:r w:rsidR="002D5FB1" w:rsidRPr="008C7695">
        <w:t>.</w:t>
      </w:r>
      <w:r w:rsidR="00B02B15">
        <w:t xml:space="preserve"> In this case, i</w:t>
      </w:r>
      <w:r w:rsidR="00B02B15" w:rsidRPr="00B02B15">
        <w:t>f SCG SRB is configured</w:t>
      </w:r>
      <w:r w:rsidR="00B02B15">
        <w:t>,</w:t>
      </w:r>
      <w:r w:rsidR="00B02B15" w:rsidRPr="00B02B15">
        <w:t xml:space="preserve"> UE </w:t>
      </w:r>
      <w:r>
        <w:t>can deliver</w:t>
      </w:r>
      <w:r w:rsidR="00B02B15" w:rsidRPr="00B02B15">
        <w:t xml:space="preserve"> the SN configured measurement reports via the SCG SRB</w:t>
      </w:r>
      <w:r w:rsidR="006B0228">
        <w:t xml:space="preserve"> in case of both SN</w:t>
      </w:r>
      <w:r w:rsidR="006B0228" w:rsidRPr="000242F1">
        <w:t xml:space="preserve"> change </w:t>
      </w:r>
      <w:r w:rsidR="006B0228">
        <w:t xml:space="preserve">and modification </w:t>
      </w:r>
      <w:r w:rsidR="006B0228" w:rsidRPr="000242F1">
        <w:t>procedure</w:t>
      </w:r>
      <w:r w:rsidR="006B0228">
        <w:t>s</w:t>
      </w:r>
      <w:r w:rsidR="007D33C1">
        <w:t xml:space="preserve"> as discussed in </w:t>
      </w:r>
      <w:r w:rsidR="007D33C1">
        <w:fldChar w:fldCharType="begin"/>
      </w:r>
      <w:r w:rsidR="007D33C1">
        <w:instrText xml:space="preserve"> REF _Ref481778286 \r \h </w:instrText>
      </w:r>
      <w:r w:rsidR="007D33C1">
        <w:fldChar w:fldCharType="separate"/>
      </w:r>
      <w:r w:rsidR="007D33C1">
        <w:t>[1]</w:t>
      </w:r>
      <w:r w:rsidR="007D33C1">
        <w:fldChar w:fldCharType="end"/>
      </w:r>
      <w:r w:rsidR="006B0228">
        <w:t>.</w:t>
      </w:r>
    </w:p>
    <w:p w14:paraId="01E37641" w14:textId="23AB391F" w:rsidR="00CD4030" w:rsidRPr="00637224" w:rsidRDefault="00CD4030" w:rsidP="00CD4030">
      <w:pPr>
        <w:pStyle w:val="Proposal"/>
      </w:pPr>
      <w:bookmarkStart w:id="2" w:name="_Toc481786038"/>
      <w:bookmarkStart w:id="3" w:name="_Toc481786069"/>
      <w:bookmarkStart w:id="4" w:name="_Toc481786076"/>
      <w:bookmarkStart w:id="5" w:name="_Toc481786095"/>
      <w:bookmarkStart w:id="6" w:name="_Toc481786120"/>
      <w:bookmarkStart w:id="7" w:name="_Toc481786685"/>
      <w:bookmarkStart w:id="8" w:name="_Toc481832196"/>
      <w:r w:rsidRPr="00637224">
        <w:t>SN configures UE with the NR measurements for secondary node modification</w:t>
      </w:r>
      <w:r w:rsidR="00936388">
        <w:t xml:space="preserve">, </w:t>
      </w:r>
      <w:r>
        <w:t>change</w:t>
      </w:r>
      <w:r w:rsidR="00936388">
        <w:t xml:space="preserve"> and release</w:t>
      </w:r>
      <w:r>
        <w:t xml:space="preserve"> and </w:t>
      </w:r>
      <w:r w:rsidRPr="00637224">
        <w:t>UE delivers the SN configured measurement reports within an SN RRC message.</w:t>
      </w:r>
      <w:bookmarkEnd w:id="2"/>
      <w:bookmarkEnd w:id="3"/>
      <w:bookmarkEnd w:id="4"/>
      <w:bookmarkEnd w:id="5"/>
      <w:bookmarkEnd w:id="6"/>
      <w:bookmarkEnd w:id="7"/>
      <w:bookmarkEnd w:id="8"/>
    </w:p>
    <w:p w14:paraId="0E3C3AB6" w14:textId="0F819A98" w:rsidR="00CD4030" w:rsidRDefault="00936388" w:rsidP="00CD4030">
      <w:pPr>
        <w:pStyle w:val="Proposal"/>
      </w:pPr>
      <w:bookmarkStart w:id="9" w:name="_Toc481786039"/>
      <w:bookmarkStart w:id="10" w:name="_Toc481786070"/>
      <w:bookmarkStart w:id="11" w:name="_Toc481786077"/>
      <w:bookmarkStart w:id="12" w:name="_Toc481786096"/>
      <w:bookmarkStart w:id="13" w:name="_Toc481786121"/>
      <w:bookmarkStart w:id="14" w:name="_Toc481786686"/>
      <w:bookmarkStart w:id="15" w:name="_Toc481832197"/>
      <w:r>
        <w:t>SN triggers intra-SN/</w:t>
      </w:r>
      <w:r w:rsidR="00CD4030" w:rsidRPr="00637224">
        <w:t>inter-SN cell change</w:t>
      </w:r>
      <w:r>
        <w:t xml:space="preserve"> and release</w:t>
      </w:r>
      <w:r w:rsidR="00CD4030" w:rsidRPr="00637224">
        <w:t xml:space="preserve"> using the measurement reports that the UE delivered within an </w:t>
      </w:r>
      <w:r w:rsidR="00714C72">
        <w:t>SN</w:t>
      </w:r>
      <w:r w:rsidR="00CD4030" w:rsidRPr="00637224">
        <w:t xml:space="preserve"> RRC message (i.e., NR RRC </w:t>
      </w:r>
      <w:r w:rsidR="00CD4030">
        <w:t>message if SN is an NR node)</w:t>
      </w:r>
      <w:r w:rsidR="00CD4030" w:rsidRPr="00637224">
        <w:t>.</w:t>
      </w:r>
      <w:bookmarkEnd w:id="9"/>
      <w:bookmarkEnd w:id="10"/>
      <w:bookmarkEnd w:id="11"/>
      <w:bookmarkEnd w:id="12"/>
      <w:bookmarkEnd w:id="13"/>
      <w:bookmarkEnd w:id="14"/>
      <w:bookmarkEnd w:id="15"/>
    </w:p>
    <w:p w14:paraId="2BE677EF" w14:textId="58C61DB2" w:rsidR="00A05CC3" w:rsidRDefault="008B1CD5" w:rsidP="00FA21F9">
      <w:pPr>
        <w:pStyle w:val="BodyText"/>
        <w:rPr>
          <w:b/>
        </w:rPr>
      </w:pPr>
      <w:bookmarkStart w:id="16" w:name="_Toc481786040"/>
      <w:bookmarkStart w:id="17" w:name="_Toc481786071"/>
      <w:bookmarkStart w:id="18" w:name="_Toc481786078"/>
      <w:r w:rsidRPr="008B1CD5">
        <w:t>MN should be involved in the SN cell change</w:t>
      </w:r>
      <w:r>
        <w:t xml:space="preserve"> with </w:t>
      </w:r>
      <w:r w:rsidR="000E5CA7">
        <w:rPr>
          <w:b/>
        </w:rPr>
        <w:t xml:space="preserve">change of </w:t>
      </w:r>
      <w:r>
        <w:t>PDCP</w:t>
      </w:r>
      <w:r w:rsidR="000E5CA7">
        <w:rPr>
          <w:b/>
        </w:rPr>
        <w:t xml:space="preserve"> termination point (inter-SN change),</w:t>
      </w:r>
      <w:r>
        <w:t xml:space="preserve"> </w:t>
      </w:r>
      <w:r w:rsidR="00262549">
        <w:t>since this would require information exchange between the MN and SN prior to the SN cell change</w:t>
      </w:r>
      <w:r>
        <w:t>. In case there is an SN cell change witho</w:t>
      </w:r>
      <w:r w:rsidRPr="008B1CD5">
        <w:t>ut</w:t>
      </w:r>
      <w:r w:rsidR="000E5CA7">
        <w:rPr>
          <w:b/>
        </w:rPr>
        <w:t xml:space="preserve"> change of PDCP termination point</w:t>
      </w:r>
      <w:r>
        <w:t xml:space="preserve">, </w:t>
      </w:r>
      <w:r w:rsidR="00262549">
        <w:t xml:space="preserve">then </w:t>
      </w:r>
      <w:r>
        <w:t>MN should be involved in the SN cell change if</w:t>
      </w:r>
      <w:r w:rsidRPr="008B1CD5">
        <w:t xml:space="preserve"> UE capability coordination is required</w:t>
      </w:r>
      <w:r>
        <w:t xml:space="preserve"> due to SN cell reconfiguration</w:t>
      </w:r>
      <w:r w:rsidR="00B02B15" w:rsidRPr="00B02B15">
        <w:t>.</w:t>
      </w:r>
      <w:r w:rsidR="00262549">
        <w:t xml:space="preserve"> </w:t>
      </w:r>
      <w:r w:rsidR="00A05CC3">
        <w:t>For these</w:t>
      </w:r>
      <w:r w:rsidR="007D75DC">
        <w:t xml:space="preserve"> SN change</w:t>
      </w:r>
      <w:r w:rsidR="00A05CC3">
        <w:t xml:space="preserve"> scenarios </w:t>
      </w:r>
      <w:r w:rsidR="00A05CC3" w:rsidRPr="00A05CC3">
        <w:t>where MN is involved, UE receives the NR RRC message embedded within an LTE RRC message via MCG SRB</w:t>
      </w:r>
      <w:r w:rsidR="007D33C1">
        <w:t xml:space="preserve"> since the inter-node signalling can also carry the new configuration information</w:t>
      </w:r>
      <w:r w:rsidR="00A05CC3">
        <w:t>.</w:t>
      </w:r>
      <w:bookmarkEnd w:id="16"/>
      <w:bookmarkEnd w:id="17"/>
      <w:bookmarkEnd w:id="18"/>
    </w:p>
    <w:p w14:paraId="0658A180" w14:textId="2C473E1A" w:rsidR="007D75DC" w:rsidRPr="007D75DC" w:rsidRDefault="007D75DC" w:rsidP="007D75DC">
      <w:pPr>
        <w:pStyle w:val="Proposal"/>
      </w:pPr>
      <w:bookmarkStart w:id="19" w:name="_Toc481786041"/>
      <w:bookmarkStart w:id="20" w:name="_Toc481786072"/>
      <w:bookmarkStart w:id="21" w:name="_Toc481786079"/>
      <w:bookmarkStart w:id="22" w:name="_Toc481786097"/>
      <w:bookmarkStart w:id="23" w:name="_Toc481786122"/>
      <w:bookmarkStart w:id="24" w:name="_Toc481786687"/>
      <w:bookmarkStart w:id="25" w:name="_Toc481832198"/>
      <w:r w:rsidRPr="007D75DC">
        <w:t>For the scenarios where MN is involved</w:t>
      </w:r>
      <w:r>
        <w:t xml:space="preserve">, </w:t>
      </w:r>
      <w:r w:rsidRPr="007D75DC">
        <w:t>UE receives the NR RRC message embedded within an LTE RRC message that is transported over MCG SRB.</w:t>
      </w:r>
      <w:bookmarkEnd w:id="19"/>
      <w:bookmarkEnd w:id="20"/>
      <w:bookmarkEnd w:id="21"/>
      <w:bookmarkEnd w:id="22"/>
      <w:bookmarkEnd w:id="23"/>
      <w:bookmarkEnd w:id="24"/>
      <w:bookmarkEnd w:id="25"/>
    </w:p>
    <w:p w14:paraId="6191F6BD" w14:textId="51622624" w:rsidR="00B92BD7" w:rsidRDefault="00B92BD7" w:rsidP="00376185">
      <w:pPr>
        <w:pStyle w:val="BodyText"/>
      </w:pPr>
      <w:r>
        <w:t>As agreed in RAN2#97bis, MN can also</w:t>
      </w:r>
      <w:r w:rsidRPr="004846DB">
        <w:t xml:space="preserve"> initiate </w:t>
      </w:r>
      <w:r w:rsidR="000E5CA7">
        <w:t>intra-SN</w:t>
      </w:r>
      <w:r w:rsidRPr="004846DB">
        <w:t xml:space="preserve"> change for the following purposes: bearer type change, security key update, inter-M</w:t>
      </w:r>
      <w:r>
        <w:t>N</w:t>
      </w:r>
      <w:r w:rsidRPr="004846DB">
        <w:t xml:space="preserve"> handove</w:t>
      </w:r>
      <w:r>
        <w:t>r without secondary node change. Furthermore</w:t>
      </w:r>
      <w:r w:rsidRPr="008C7695">
        <w:t>, in case</w:t>
      </w:r>
      <w:r>
        <w:t xml:space="preserve"> of SN modification to trigger the release of SCG bearer(s) and the SCG part of split bearer(s), it should be possible that both MN and SN can trigger the secondary node modification procedure</w:t>
      </w:r>
      <w:r w:rsidRPr="008C7695">
        <w:t>.</w:t>
      </w:r>
      <w:r>
        <w:t xml:space="preserve"> </w:t>
      </w:r>
    </w:p>
    <w:p w14:paraId="23464F18" w14:textId="672D253C" w:rsidR="002724BE" w:rsidRDefault="00650BE8" w:rsidP="00376185">
      <w:pPr>
        <w:pStyle w:val="BodyText"/>
      </w:pPr>
      <w:bookmarkStart w:id="26" w:name="_Toc481786042"/>
      <w:bookmarkStart w:id="27" w:name="_Toc481786073"/>
      <w:bookmarkStart w:id="28" w:name="_Toc481786080"/>
      <w:bookmarkStart w:id="29" w:name="_Toc481786098"/>
      <w:r>
        <w:t xml:space="preserve">In addition to </w:t>
      </w:r>
      <w:r w:rsidR="00B92BD7">
        <w:t>SN modification, MN</w:t>
      </w:r>
      <w:r w:rsidR="00325999">
        <w:t xml:space="preserve"> </w:t>
      </w:r>
      <w:r>
        <w:t>can</w:t>
      </w:r>
      <w:r w:rsidR="00B92BD7">
        <w:t xml:space="preserve"> </w:t>
      </w:r>
      <w:r w:rsidR="00141D07">
        <w:t>initiate the</w:t>
      </w:r>
      <w:r w:rsidR="00B92BD7">
        <w:t xml:space="preserve"> </w:t>
      </w:r>
      <w:r w:rsidR="008C4465">
        <w:t>(</w:t>
      </w:r>
      <w:r w:rsidR="00B92BD7">
        <w:t>inter-frequency</w:t>
      </w:r>
      <w:r w:rsidR="008C4465">
        <w:t>)</w:t>
      </w:r>
      <w:r w:rsidR="00141D07">
        <w:t xml:space="preserve"> SN </w:t>
      </w:r>
      <w:r w:rsidRPr="00650BE8">
        <w:t>change</w:t>
      </w:r>
      <w:r w:rsidR="008C4465">
        <w:t xml:space="preserve"> </w:t>
      </w:r>
      <w:r w:rsidR="008C4465" w:rsidRPr="00650BE8">
        <w:t xml:space="preserve">e.g., </w:t>
      </w:r>
      <w:r w:rsidR="008C4465">
        <w:t xml:space="preserve">due to </w:t>
      </w:r>
      <w:r w:rsidR="008C4465" w:rsidRPr="00650BE8">
        <w:t>load balancing</w:t>
      </w:r>
      <w:r w:rsidR="008C4465">
        <w:t>, as well as SN</w:t>
      </w:r>
      <w:r w:rsidR="00BF0D75">
        <w:t xml:space="preserve"> release</w:t>
      </w:r>
      <w:r w:rsidRPr="00650BE8">
        <w:t>.</w:t>
      </w:r>
      <w:r w:rsidR="00325999">
        <w:t xml:space="preserve"> </w:t>
      </w:r>
      <w:r w:rsidR="00141D07">
        <w:t>To</w:t>
      </w:r>
      <w:r w:rsidR="00A05CC3">
        <w:t xml:space="preserve"> enable th</w:t>
      </w:r>
      <w:r w:rsidR="0098600F">
        <w:t>ese scenarios</w:t>
      </w:r>
      <w:r w:rsidR="00A05CC3">
        <w:t xml:space="preserve"> </w:t>
      </w:r>
      <w:r w:rsidR="00B92BD7">
        <w:t>not only</w:t>
      </w:r>
      <w:r w:rsidR="00A05CC3">
        <w:t xml:space="preserve"> SN </w:t>
      </w:r>
      <w:r w:rsidR="00B92BD7">
        <w:t xml:space="preserve">but also MN </w:t>
      </w:r>
      <w:r w:rsidR="00A05CC3">
        <w:t xml:space="preserve">should be able to configure </w:t>
      </w:r>
      <w:r w:rsidR="008C4465">
        <w:t xml:space="preserve">the UE with the secondary RAT measurements </w:t>
      </w:r>
      <w:r w:rsidR="00B92BD7">
        <w:t>e.g., NR measurements if LTE is the MN.</w:t>
      </w:r>
      <w:r w:rsidR="00141D07">
        <w:t xml:space="preserve"> </w:t>
      </w:r>
      <w:r w:rsidR="0098600F">
        <w:t>Then</w:t>
      </w:r>
      <w:r w:rsidR="00B92BD7">
        <w:t>, i</w:t>
      </w:r>
      <w:r w:rsidR="00141D07">
        <w:t xml:space="preserve">ndependent measurement events configured by MN and SN may </w:t>
      </w:r>
      <w:r w:rsidR="00B92BD7">
        <w:t xml:space="preserve">sometimes </w:t>
      </w:r>
      <w:r w:rsidR="00141D07">
        <w:t xml:space="preserve">result in </w:t>
      </w:r>
      <w:r w:rsidR="00325999" w:rsidRPr="00325999">
        <w:t>conflicted decision</w:t>
      </w:r>
      <w:r w:rsidR="00325999">
        <w:t xml:space="preserve">s </w:t>
      </w:r>
      <w:r w:rsidR="000F0FD9">
        <w:t>(e.g., MN decision to release SN and SN decision to change SN)</w:t>
      </w:r>
      <w:r w:rsidR="00141D07">
        <w:t>. Yet, this could simply be</w:t>
      </w:r>
      <w:r w:rsidR="000F0FD9">
        <w:t xml:space="preserve"> </w:t>
      </w:r>
      <w:r w:rsidR="00141D07">
        <w:t>solved by</w:t>
      </w:r>
      <w:r w:rsidR="000F0FD9">
        <w:t xml:space="preserve"> network implementation since MN may </w:t>
      </w:r>
      <w:r w:rsidR="003C20D8">
        <w:t xml:space="preserve">(selectively) </w:t>
      </w:r>
      <w:r w:rsidR="000F0FD9">
        <w:t xml:space="preserve">ignore the received NR measurement reports if SN has </w:t>
      </w:r>
      <w:r w:rsidR="00141D07">
        <w:t xml:space="preserve">already </w:t>
      </w:r>
      <w:r w:rsidR="000F0FD9">
        <w:lastRenderedPageBreak/>
        <w:t>configured measurements in the same frequencies. This would leave</w:t>
      </w:r>
      <w:r w:rsidR="00325999" w:rsidRPr="00325999">
        <w:t xml:space="preserve"> SN</w:t>
      </w:r>
      <w:r w:rsidR="000F0FD9">
        <w:t xml:space="preserve"> related mobility to SN RRC once the intra-RAT S</w:t>
      </w:r>
      <w:r w:rsidR="00325999" w:rsidRPr="00325999">
        <w:t xml:space="preserve">N </w:t>
      </w:r>
      <w:r w:rsidR="000F0FD9">
        <w:t>measurements are configured.</w:t>
      </w:r>
      <w:bookmarkEnd w:id="26"/>
      <w:bookmarkEnd w:id="27"/>
      <w:bookmarkEnd w:id="28"/>
      <w:bookmarkEnd w:id="29"/>
      <w:r w:rsidR="00325999" w:rsidRPr="00325999">
        <w:t xml:space="preserve"> </w:t>
      </w:r>
    </w:p>
    <w:p w14:paraId="05AE7BC6" w14:textId="601C6F96" w:rsidR="008554A3" w:rsidRDefault="00141D07" w:rsidP="008C4465">
      <w:pPr>
        <w:pStyle w:val="Proposal"/>
      </w:pPr>
      <w:bookmarkStart w:id="30" w:name="_Toc481786043"/>
      <w:bookmarkStart w:id="31" w:name="_Toc481786074"/>
      <w:bookmarkStart w:id="32" w:name="_Toc481786081"/>
      <w:bookmarkStart w:id="33" w:name="_Toc481786099"/>
      <w:bookmarkStart w:id="34" w:name="_Toc481786123"/>
      <w:bookmarkStart w:id="35" w:name="_Toc481786688"/>
      <w:bookmarkStart w:id="36" w:name="_Toc481832199"/>
      <w:r>
        <w:t>For the SN change</w:t>
      </w:r>
      <w:r w:rsidR="0098600F">
        <w:t xml:space="preserve"> and release</w:t>
      </w:r>
      <w:r>
        <w:t xml:space="preserve"> procedure</w:t>
      </w:r>
      <w:r w:rsidR="0098600F">
        <w:t>s</w:t>
      </w:r>
      <w:r>
        <w:t xml:space="preserve">, </w:t>
      </w:r>
      <w:r w:rsidR="00A05CC3">
        <w:t>MN and SN can</w:t>
      </w:r>
      <w:r w:rsidR="00936388">
        <w:t xml:space="preserve"> initiate the procedure and thus can</w:t>
      </w:r>
      <w:r w:rsidR="00A05CC3">
        <w:t xml:space="preserve"> configure independent RRM measurements on the same frequencies without any frequency restriction, resolution of conflicting events and decisions can be left to network implementation.</w:t>
      </w:r>
      <w:bookmarkEnd w:id="30"/>
      <w:bookmarkEnd w:id="31"/>
      <w:bookmarkEnd w:id="32"/>
      <w:bookmarkEnd w:id="33"/>
      <w:bookmarkEnd w:id="34"/>
      <w:bookmarkEnd w:id="35"/>
      <w:bookmarkEnd w:id="36"/>
    </w:p>
    <w:p w14:paraId="0F27A4C1" w14:textId="6D550132" w:rsidR="003C20D8" w:rsidRDefault="00A70BE1" w:rsidP="00376185">
      <w:pPr>
        <w:pStyle w:val="BodyText"/>
      </w:pPr>
      <w:r>
        <w:t xml:space="preserve">The examples for the </w:t>
      </w:r>
      <w:r w:rsidR="008554A3">
        <w:t>SN</w:t>
      </w:r>
      <w:r>
        <w:t xml:space="preserve"> and </w:t>
      </w:r>
      <w:r w:rsidR="008554A3">
        <w:t>MN</w:t>
      </w:r>
      <w:r>
        <w:t xml:space="preserve"> initiated secondary node modification</w:t>
      </w:r>
      <w:r w:rsidR="00BF0D75">
        <w:t>, change and release p</w:t>
      </w:r>
      <w:r w:rsidR="00B02B15">
        <w:t>rocedures are given in Figure</w:t>
      </w:r>
      <w:r w:rsidR="003973D7">
        <w:t>s</w:t>
      </w:r>
      <w:r>
        <w:t xml:space="preserve"> 2 </w:t>
      </w:r>
      <w:r w:rsidR="00637224">
        <w:t>- 6</w:t>
      </w:r>
      <w:r w:rsidR="003C20D8">
        <w:t>.</w:t>
      </w:r>
    </w:p>
    <w:p w14:paraId="46665E2D" w14:textId="48C591EE" w:rsidR="00557C68" w:rsidRDefault="00CE7401" w:rsidP="00CE7401">
      <w:pPr>
        <w:pStyle w:val="Proposal"/>
      </w:pPr>
      <w:bookmarkStart w:id="37" w:name="_Toc481786044"/>
      <w:bookmarkStart w:id="38" w:name="_Toc481786075"/>
      <w:bookmarkStart w:id="39" w:name="_Toc481786082"/>
      <w:bookmarkStart w:id="40" w:name="_Toc481786100"/>
      <w:bookmarkStart w:id="41" w:name="_Toc481786124"/>
      <w:bookmarkStart w:id="42" w:name="_Toc481786689"/>
      <w:bookmarkStart w:id="43" w:name="_Toc481832200"/>
      <w:r>
        <w:t>Attached s</w:t>
      </w:r>
      <w:r w:rsidR="00557C68">
        <w:t xml:space="preserve">ignalling </w:t>
      </w:r>
      <w:r>
        <w:t>diagrams</w:t>
      </w:r>
      <w:r w:rsidR="00557C68">
        <w:t xml:space="preserve"> </w:t>
      </w:r>
      <w:r w:rsidR="002729E7">
        <w:t xml:space="preserve">can be used as basis for signalling diagrams in </w:t>
      </w:r>
      <w:r>
        <w:t xml:space="preserve">TS </w:t>
      </w:r>
      <w:r w:rsidRPr="00CE7401">
        <w:t>37.340</w:t>
      </w:r>
      <w:r w:rsidR="00557C68">
        <w:t>.</w:t>
      </w:r>
      <w:bookmarkEnd w:id="37"/>
      <w:bookmarkEnd w:id="38"/>
      <w:bookmarkEnd w:id="39"/>
      <w:bookmarkEnd w:id="40"/>
      <w:bookmarkEnd w:id="41"/>
      <w:bookmarkEnd w:id="42"/>
      <w:bookmarkEnd w:id="43"/>
    </w:p>
    <w:p w14:paraId="4B89BD40" w14:textId="77777777" w:rsidR="002D5FB1" w:rsidRPr="008C7695" w:rsidRDefault="002D5FB1" w:rsidP="002D5FB1"/>
    <w:p w14:paraId="7E2E1C42" w14:textId="343F5911" w:rsidR="002D5FB1" w:rsidRPr="008C7695" w:rsidRDefault="007D33C1" w:rsidP="002D5FB1">
      <w:pPr>
        <w:jc w:val="center"/>
      </w:pPr>
      <w:r>
        <w:rPr>
          <w:noProof/>
          <w:lang w:val="fi-FI" w:eastAsia="fi-FI"/>
        </w:rPr>
        <w:drawing>
          <wp:inline distT="0" distB="0" distL="0" distR="0" wp14:anchorId="1C95DD4D" wp14:editId="33FA1909">
            <wp:extent cx="6115050" cy="5133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5133975"/>
                    </a:xfrm>
                    <a:prstGeom prst="rect">
                      <a:avLst/>
                    </a:prstGeom>
                    <a:noFill/>
                    <a:ln>
                      <a:noFill/>
                    </a:ln>
                  </pic:spPr>
                </pic:pic>
              </a:graphicData>
            </a:graphic>
          </wp:inline>
        </w:drawing>
      </w:r>
    </w:p>
    <w:p w14:paraId="49FF1247" w14:textId="3707DE25" w:rsidR="002D5FB1" w:rsidRDefault="002D5FB1" w:rsidP="002D5FB1">
      <w:pPr>
        <w:pStyle w:val="TF"/>
        <w:rPr>
          <w:lang w:eastAsia="ja-JP"/>
        </w:rPr>
      </w:pPr>
      <w:r w:rsidRPr="008C7695">
        <w:rPr>
          <w:lang w:eastAsia="ja-JP"/>
        </w:rPr>
        <w:t xml:space="preserve">Figure 2: </w:t>
      </w:r>
      <w:r w:rsidR="00AD165F">
        <w:rPr>
          <w:lang w:eastAsia="ja-JP"/>
        </w:rPr>
        <w:t xml:space="preserve">MN-involved </w:t>
      </w:r>
      <w:r w:rsidRPr="008C7695">
        <w:rPr>
          <w:lang w:eastAsia="ja-JP"/>
        </w:rPr>
        <w:t>SN</w:t>
      </w:r>
      <w:r w:rsidR="00202142">
        <w:rPr>
          <w:lang w:eastAsia="ja-JP"/>
        </w:rPr>
        <w:t>-initiated S</w:t>
      </w:r>
      <w:r w:rsidRPr="008C7695">
        <w:rPr>
          <w:lang w:eastAsia="ja-JP"/>
        </w:rPr>
        <w:t>N modification in case of LTE-NR interworking</w:t>
      </w:r>
    </w:p>
    <w:p w14:paraId="7179B1A6" w14:textId="6AD13070" w:rsidR="00202142" w:rsidRDefault="00202142" w:rsidP="002D5FB1">
      <w:pPr>
        <w:pStyle w:val="TF"/>
        <w:rPr>
          <w:lang w:eastAsia="ja-JP"/>
        </w:rPr>
      </w:pPr>
    </w:p>
    <w:p w14:paraId="40602F98" w14:textId="430C6C65" w:rsidR="00AD165F" w:rsidRPr="008C7695" w:rsidRDefault="00A3414A" w:rsidP="00AD165F">
      <w:pPr>
        <w:jc w:val="center"/>
      </w:pPr>
      <w:r>
        <w:rPr>
          <w:noProof/>
          <w:lang w:val="fi-FI" w:eastAsia="fi-FI"/>
        </w:rPr>
        <w:lastRenderedPageBreak/>
        <w:drawing>
          <wp:inline distT="0" distB="0" distL="0" distR="0" wp14:anchorId="2E02325E" wp14:editId="3185D817">
            <wp:extent cx="6395085" cy="2447925"/>
            <wp:effectExtent l="0" t="0" r="571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6">
                      <a:extLst>
                        <a:ext uri="{28A0092B-C50C-407E-A947-70E740481C1C}">
                          <a14:useLocalDpi xmlns:a14="http://schemas.microsoft.com/office/drawing/2010/main" val="0"/>
                        </a:ext>
                      </a:extLst>
                    </a:blip>
                    <a:srcRect b="33638"/>
                    <a:stretch/>
                  </pic:blipFill>
                  <pic:spPr bwMode="auto">
                    <a:xfrm>
                      <a:off x="0" y="0"/>
                      <a:ext cx="6395085" cy="2447925"/>
                    </a:xfrm>
                    <a:prstGeom prst="rect">
                      <a:avLst/>
                    </a:prstGeom>
                    <a:noFill/>
                    <a:ln>
                      <a:noFill/>
                    </a:ln>
                    <a:extLst>
                      <a:ext uri="{53640926-AAD7-44D8-BBD7-CCE9431645EC}">
                        <a14:shadowObscured xmlns:a14="http://schemas.microsoft.com/office/drawing/2010/main"/>
                      </a:ext>
                    </a:extLst>
                  </pic:spPr>
                </pic:pic>
              </a:graphicData>
            </a:graphic>
          </wp:inline>
        </w:drawing>
      </w:r>
    </w:p>
    <w:p w14:paraId="450EAC7D" w14:textId="02EB7BA4" w:rsidR="00AD165F" w:rsidRDefault="00AD165F" w:rsidP="00AD165F">
      <w:pPr>
        <w:pStyle w:val="TF"/>
        <w:rPr>
          <w:lang w:eastAsia="ja-JP"/>
        </w:rPr>
      </w:pPr>
      <w:r w:rsidRPr="008C7695">
        <w:rPr>
          <w:lang w:eastAsia="ja-JP"/>
        </w:rPr>
        <w:t xml:space="preserve">Figure </w:t>
      </w:r>
      <w:r>
        <w:rPr>
          <w:lang w:eastAsia="ja-JP"/>
        </w:rPr>
        <w:t xml:space="preserve">3: MN-uninvolved </w:t>
      </w:r>
      <w:r w:rsidRPr="008C7695">
        <w:rPr>
          <w:lang w:eastAsia="ja-JP"/>
        </w:rPr>
        <w:t>SN</w:t>
      </w:r>
      <w:r>
        <w:rPr>
          <w:lang w:eastAsia="ja-JP"/>
        </w:rPr>
        <w:t>-initiated S</w:t>
      </w:r>
      <w:r w:rsidRPr="008C7695">
        <w:rPr>
          <w:lang w:eastAsia="ja-JP"/>
        </w:rPr>
        <w:t>N modification in case of LTE-NR interworking</w:t>
      </w:r>
    </w:p>
    <w:p w14:paraId="596D02D6" w14:textId="712BD9D3" w:rsidR="002D5FB1" w:rsidRDefault="002D5FB1" w:rsidP="002D5FB1">
      <w:pPr>
        <w:pStyle w:val="TF"/>
        <w:rPr>
          <w:lang w:eastAsia="ja-JP"/>
        </w:rPr>
      </w:pPr>
    </w:p>
    <w:p w14:paraId="3A5070A2" w14:textId="796C7310" w:rsidR="00AD165F" w:rsidRPr="008C7695" w:rsidRDefault="007D33C1" w:rsidP="002D5FB1">
      <w:pPr>
        <w:pStyle w:val="TF"/>
        <w:rPr>
          <w:lang w:eastAsia="ja-JP"/>
        </w:rPr>
      </w:pPr>
      <w:r>
        <w:rPr>
          <w:noProof/>
          <w:lang w:val="fi-FI" w:eastAsia="fi-FI"/>
        </w:rPr>
        <w:drawing>
          <wp:inline distT="0" distB="0" distL="0" distR="0" wp14:anchorId="22F6F48C" wp14:editId="57DCE4EA">
            <wp:extent cx="6115050" cy="412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4124325"/>
                    </a:xfrm>
                    <a:prstGeom prst="rect">
                      <a:avLst/>
                    </a:prstGeom>
                    <a:noFill/>
                    <a:ln>
                      <a:noFill/>
                    </a:ln>
                  </pic:spPr>
                </pic:pic>
              </a:graphicData>
            </a:graphic>
          </wp:inline>
        </w:drawing>
      </w:r>
    </w:p>
    <w:p w14:paraId="4612ABCD" w14:textId="55BA12FA" w:rsidR="002D5FB1" w:rsidRPr="008C7695" w:rsidRDefault="002D5FB1" w:rsidP="002D5FB1">
      <w:pPr>
        <w:pStyle w:val="TF"/>
        <w:rPr>
          <w:lang w:eastAsia="ja-JP"/>
        </w:rPr>
      </w:pPr>
      <w:r w:rsidRPr="008C7695">
        <w:rPr>
          <w:lang w:eastAsia="ja-JP"/>
        </w:rPr>
        <w:t xml:space="preserve">Figure </w:t>
      </w:r>
      <w:r w:rsidR="00AD165F">
        <w:rPr>
          <w:lang w:eastAsia="ja-JP"/>
        </w:rPr>
        <w:t>4</w:t>
      </w:r>
      <w:r w:rsidRPr="008C7695">
        <w:rPr>
          <w:lang w:eastAsia="ja-JP"/>
        </w:rPr>
        <w:t>: MN-initiated SN modification in case of LTE-NR interworking</w:t>
      </w:r>
    </w:p>
    <w:p w14:paraId="319D2235" w14:textId="05859217" w:rsidR="00735E01" w:rsidRPr="008C7695" w:rsidRDefault="00637224" w:rsidP="00735E01">
      <w:pPr>
        <w:pStyle w:val="TF"/>
        <w:rPr>
          <w:lang w:eastAsia="ja-JP"/>
        </w:rPr>
      </w:pPr>
      <w:r>
        <w:rPr>
          <w:noProof/>
          <w:lang w:val="fi-FI" w:eastAsia="fi-FI"/>
        </w:rPr>
        <w:lastRenderedPageBreak/>
        <w:drawing>
          <wp:inline distT="0" distB="0" distL="0" distR="0" wp14:anchorId="3741F63F" wp14:editId="48A4B781">
            <wp:extent cx="6126350" cy="3703955"/>
            <wp:effectExtent l="0" t="0" r="825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6350" cy="3703955"/>
                    </a:xfrm>
                    <a:prstGeom prst="rect">
                      <a:avLst/>
                    </a:prstGeom>
                    <a:noFill/>
                  </pic:spPr>
                </pic:pic>
              </a:graphicData>
            </a:graphic>
          </wp:inline>
        </w:drawing>
      </w:r>
    </w:p>
    <w:p w14:paraId="74362098" w14:textId="5B6EFF35" w:rsidR="00735E01" w:rsidRDefault="00735E01" w:rsidP="00735E01">
      <w:pPr>
        <w:pStyle w:val="TF"/>
        <w:rPr>
          <w:lang w:eastAsia="ja-JP"/>
        </w:rPr>
      </w:pPr>
      <w:r w:rsidRPr="008C7695">
        <w:rPr>
          <w:lang w:eastAsia="ja-JP"/>
        </w:rPr>
        <w:t xml:space="preserve">Figure </w:t>
      </w:r>
      <w:r w:rsidR="00637224">
        <w:rPr>
          <w:lang w:eastAsia="ja-JP"/>
        </w:rPr>
        <w:t>5</w:t>
      </w:r>
      <w:r w:rsidRPr="008C7695">
        <w:rPr>
          <w:lang w:eastAsia="ja-JP"/>
        </w:rPr>
        <w:t xml:space="preserve">: </w:t>
      </w:r>
      <w:r w:rsidR="00637224">
        <w:rPr>
          <w:lang w:eastAsia="ja-JP"/>
        </w:rPr>
        <w:t>MN-initiated / SN-initiated SN change</w:t>
      </w:r>
      <w:r w:rsidR="00637224" w:rsidRPr="008C7695">
        <w:rPr>
          <w:lang w:eastAsia="ja-JP"/>
        </w:rPr>
        <w:t xml:space="preserve"> in case of LTE-NR interworking</w:t>
      </w:r>
      <w:r w:rsidR="00637224">
        <w:rPr>
          <w:lang w:eastAsia="ja-JP"/>
        </w:rPr>
        <w:t>. Signalling in red colour is only used in SN-initiated case.</w:t>
      </w:r>
    </w:p>
    <w:p w14:paraId="6E08BF77" w14:textId="77777777" w:rsidR="00BF0D75" w:rsidRDefault="00BF0D75" w:rsidP="00735E01">
      <w:pPr>
        <w:pStyle w:val="TF"/>
        <w:rPr>
          <w:lang w:eastAsia="ja-JP"/>
        </w:rPr>
      </w:pPr>
    </w:p>
    <w:p w14:paraId="272828A6" w14:textId="1E5DC8DF" w:rsidR="00BF0D75" w:rsidRPr="008C7695" w:rsidRDefault="00637224" w:rsidP="00BF0D75">
      <w:pPr>
        <w:pStyle w:val="TF"/>
        <w:rPr>
          <w:lang w:eastAsia="ja-JP"/>
        </w:rPr>
      </w:pPr>
      <w:r>
        <w:rPr>
          <w:noProof/>
          <w:lang w:val="fi-FI" w:eastAsia="fi-FI"/>
        </w:rPr>
        <w:drawing>
          <wp:inline distT="0" distB="0" distL="0" distR="0" wp14:anchorId="5367263B" wp14:editId="70F550F1">
            <wp:extent cx="6289540" cy="377253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92717" cy="3774441"/>
                    </a:xfrm>
                    <a:prstGeom prst="rect">
                      <a:avLst/>
                    </a:prstGeom>
                    <a:noFill/>
                  </pic:spPr>
                </pic:pic>
              </a:graphicData>
            </a:graphic>
          </wp:inline>
        </w:drawing>
      </w:r>
    </w:p>
    <w:p w14:paraId="4AAC3122" w14:textId="1B486DF6" w:rsidR="00BF0D75" w:rsidRPr="008C7695" w:rsidRDefault="00BF0D75" w:rsidP="00BF0D75">
      <w:pPr>
        <w:pStyle w:val="TF"/>
        <w:rPr>
          <w:lang w:eastAsia="ja-JP"/>
        </w:rPr>
      </w:pPr>
      <w:r w:rsidRPr="008C7695">
        <w:rPr>
          <w:lang w:eastAsia="ja-JP"/>
        </w:rPr>
        <w:t xml:space="preserve">Figure </w:t>
      </w:r>
      <w:r w:rsidR="00637224">
        <w:rPr>
          <w:lang w:eastAsia="ja-JP"/>
        </w:rPr>
        <w:t>6</w:t>
      </w:r>
      <w:r w:rsidRPr="008C7695">
        <w:rPr>
          <w:lang w:eastAsia="ja-JP"/>
        </w:rPr>
        <w:t xml:space="preserve">: </w:t>
      </w:r>
      <w:r>
        <w:rPr>
          <w:lang w:eastAsia="ja-JP"/>
        </w:rPr>
        <w:t>MN-initiated / S</w:t>
      </w:r>
      <w:r w:rsidR="00637224">
        <w:rPr>
          <w:lang w:eastAsia="ja-JP"/>
        </w:rPr>
        <w:t>N-initiated SN</w:t>
      </w:r>
      <w:r>
        <w:rPr>
          <w:lang w:eastAsia="ja-JP"/>
        </w:rPr>
        <w:t xml:space="preserve"> release</w:t>
      </w:r>
      <w:r w:rsidRPr="008C7695">
        <w:rPr>
          <w:lang w:eastAsia="ja-JP"/>
        </w:rPr>
        <w:t xml:space="preserve"> in case of LTE-NR interworking</w:t>
      </w:r>
      <w:r>
        <w:rPr>
          <w:lang w:eastAsia="ja-JP"/>
        </w:rPr>
        <w:t>. Signalling in red colour is only used in SN-initiated case.</w:t>
      </w:r>
    </w:p>
    <w:p w14:paraId="1CE7F8F3" w14:textId="77777777" w:rsidR="00BF0D75" w:rsidRPr="008C7695" w:rsidRDefault="00BF0D75" w:rsidP="00735E01">
      <w:pPr>
        <w:pStyle w:val="TF"/>
        <w:rPr>
          <w:lang w:eastAsia="ja-JP"/>
        </w:rPr>
      </w:pPr>
    </w:p>
    <w:p w14:paraId="52B6E4C9" w14:textId="77777777" w:rsidR="002D5FB1" w:rsidRPr="008C7695" w:rsidRDefault="002D5FB1" w:rsidP="002D5FB1">
      <w:pPr>
        <w:pStyle w:val="Heading1"/>
        <w:numPr>
          <w:ilvl w:val="0"/>
          <w:numId w:val="16"/>
        </w:numPr>
        <w:textAlignment w:val="auto"/>
      </w:pPr>
      <w:r w:rsidRPr="008C7695">
        <w:t>Conclusion</w:t>
      </w:r>
    </w:p>
    <w:p w14:paraId="4D73E057" w14:textId="0EED01E2" w:rsidR="002D5FB1" w:rsidRDefault="002D5FB1" w:rsidP="002D5FB1">
      <w:pPr>
        <w:pStyle w:val="BodyText"/>
      </w:pPr>
      <w:r w:rsidRPr="008C7695">
        <w:t>Based on the discussion in section 2, we have the following proposals:</w:t>
      </w:r>
    </w:p>
    <w:p w14:paraId="3B82DDA0" w14:textId="77777777" w:rsidR="00E87ADB" w:rsidRPr="00E231A6" w:rsidRDefault="002729E7">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E87ADB">
        <w:t>Proposal 1</w:t>
      </w:r>
      <w:r w:rsidR="00E87ADB" w:rsidRPr="00E231A6">
        <w:rPr>
          <w:rFonts w:asciiTheme="minorHAnsi" w:eastAsiaTheme="minorEastAsia" w:hAnsiTheme="minorHAnsi" w:cstheme="minorBidi"/>
          <w:b w:val="0"/>
          <w:sz w:val="22"/>
          <w:lang w:val="en-GB" w:eastAsia="fi-FI"/>
        </w:rPr>
        <w:tab/>
      </w:r>
      <w:r w:rsidR="00E87ADB">
        <w:t>SN configures UE with the NR measurements for secondary node modification, change and release and UE delivers the SN configured measurement reports within an SN RRC message.</w:t>
      </w:r>
    </w:p>
    <w:p w14:paraId="267D16F9" w14:textId="77777777" w:rsidR="00E87ADB" w:rsidRPr="00E231A6" w:rsidRDefault="00E87ADB">
      <w:pPr>
        <w:pStyle w:val="TOC1"/>
        <w:rPr>
          <w:rFonts w:asciiTheme="minorHAnsi" w:eastAsiaTheme="minorEastAsia" w:hAnsiTheme="minorHAnsi" w:cstheme="minorBidi"/>
          <w:b w:val="0"/>
          <w:sz w:val="22"/>
          <w:lang w:val="en-GB" w:eastAsia="fi-FI"/>
        </w:rPr>
      </w:pPr>
      <w:r>
        <w:t>Proposal 2</w:t>
      </w:r>
      <w:r w:rsidRPr="00E231A6">
        <w:rPr>
          <w:rFonts w:asciiTheme="minorHAnsi" w:eastAsiaTheme="minorEastAsia" w:hAnsiTheme="minorHAnsi" w:cstheme="minorBidi"/>
          <w:b w:val="0"/>
          <w:sz w:val="22"/>
          <w:lang w:val="en-GB" w:eastAsia="fi-FI"/>
        </w:rPr>
        <w:tab/>
      </w:r>
      <w:r>
        <w:t>SN triggers intra-SN/inter-SN cell change and release using the measurement reports that the UE delivered within an SN RRC message (i.e., NR RRC message if SN is an NR node).</w:t>
      </w:r>
    </w:p>
    <w:p w14:paraId="27E70BC0" w14:textId="77777777" w:rsidR="00E87ADB" w:rsidRPr="00E231A6" w:rsidRDefault="00E87ADB">
      <w:pPr>
        <w:pStyle w:val="TOC1"/>
        <w:rPr>
          <w:rFonts w:asciiTheme="minorHAnsi" w:eastAsiaTheme="minorEastAsia" w:hAnsiTheme="minorHAnsi" w:cstheme="minorBidi"/>
          <w:b w:val="0"/>
          <w:sz w:val="22"/>
          <w:lang w:val="en-GB" w:eastAsia="fi-FI"/>
        </w:rPr>
      </w:pPr>
      <w:r>
        <w:t>Proposal 3</w:t>
      </w:r>
      <w:r w:rsidRPr="00E231A6">
        <w:rPr>
          <w:rFonts w:asciiTheme="minorHAnsi" w:eastAsiaTheme="minorEastAsia" w:hAnsiTheme="minorHAnsi" w:cstheme="minorBidi"/>
          <w:b w:val="0"/>
          <w:sz w:val="22"/>
          <w:lang w:val="en-GB" w:eastAsia="fi-FI"/>
        </w:rPr>
        <w:tab/>
      </w:r>
      <w:r>
        <w:t>For the scenarios where MN is involved, UE receives the NR RRC message embedded within an LTE RRC message that is transported over MCG SRB.</w:t>
      </w:r>
    </w:p>
    <w:p w14:paraId="65BA8E8D" w14:textId="77777777" w:rsidR="00E87ADB" w:rsidRPr="00E231A6" w:rsidRDefault="00E87ADB">
      <w:pPr>
        <w:pStyle w:val="TOC1"/>
        <w:rPr>
          <w:rFonts w:asciiTheme="minorHAnsi" w:eastAsiaTheme="minorEastAsia" w:hAnsiTheme="minorHAnsi" w:cstheme="minorBidi"/>
          <w:b w:val="0"/>
          <w:sz w:val="22"/>
          <w:lang w:val="en-GB" w:eastAsia="fi-FI"/>
        </w:rPr>
      </w:pPr>
      <w:r>
        <w:t>Proposal 4</w:t>
      </w:r>
      <w:r w:rsidRPr="00E231A6">
        <w:rPr>
          <w:rFonts w:asciiTheme="minorHAnsi" w:eastAsiaTheme="minorEastAsia" w:hAnsiTheme="minorHAnsi" w:cstheme="minorBidi"/>
          <w:b w:val="0"/>
          <w:sz w:val="22"/>
          <w:lang w:val="en-GB" w:eastAsia="fi-FI"/>
        </w:rPr>
        <w:tab/>
      </w:r>
      <w:r>
        <w:t>For the SN change and release procedures, MN and SN can initiate the procedure and thus can configure independent RRM measurements on the same frequencies without any frequency restriction, resolution of conflicting events and decisions can be left to network implementation.</w:t>
      </w:r>
    </w:p>
    <w:p w14:paraId="40FBB434" w14:textId="77777777" w:rsidR="00E87ADB" w:rsidRPr="00E231A6" w:rsidRDefault="00E87ADB">
      <w:pPr>
        <w:pStyle w:val="TOC1"/>
        <w:rPr>
          <w:rFonts w:asciiTheme="minorHAnsi" w:eastAsiaTheme="minorEastAsia" w:hAnsiTheme="minorHAnsi" w:cstheme="minorBidi"/>
          <w:b w:val="0"/>
          <w:sz w:val="22"/>
          <w:lang w:val="en-GB" w:eastAsia="fi-FI"/>
        </w:rPr>
      </w:pPr>
      <w:r>
        <w:t>Proposal 5</w:t>
      </w:r>
      <w:r w:rsidRPr="00E231A6">
        <w:rPr>
          <w:rFonts w:asciiTheme="minorHAnsi" w:eastAsiaTheme="minorEastAsia" w:hAnsiTheme="minorHAnsi" w:cstheme="minorBidi"/>
          <w:b w:val="0"/>
          <w:sz w:val="22"/>
          <w:lang w:val="en-GB" w:eastAsia="fi-FI"/>
        </w:rPr>
        <w:tab/>
      </w:r>
      <w:r>
        <w:t>Attached signalling diagrams can be used as basis for signalling diagrams in TS 37.340.</w:t>
      </w:r>
    </w:p>
    <w:p w14:paraId="356DE1FE" w14:textId="6C9F6F6F" w:rsidR="002729E7" w:rsidRPr="008C7695" w:rsidRDefault="002729E7" w:rsidP="002729E7">
      <w:pPr>
        <w:pStyle w:val="BodyText"/>
      </w:pPr>
      <w:r>
        <w:rPr>
          <w:b/>
          <w:bCs/>
        </w:rPr>
        <w:fldChar w:fldCharType="end"/>
      </w:r>
    </w:p>
    <w:p w14:paraId="2BAC8A3E" w14:textId="77777777" w:rsidR="002D5FB1" w:rsidRPr="008C7695" w:rsidRDefault="002D5FB1" w:rsidP="002D5FB1">
      <w:pPr>
        <w:pStyle w:val="Heading1"/>
        <w:numPr>
          <w:ilvl w:val="0"/>
          <w:numId w:val="16"/>
        </w:numPr>
        <w:textAlignment w:val="auto"/>
      </w:pPr>
      <w:bookmarkStart w:id="44" w:name="_In-sequence_SDU_delivery"/>
      <w:bookmarkEnd w:id="44"/>
      <w:r w:rsidRPr="008C7695">
        <w:t>References</w:t>
      </w:r>
    </w:p>
    <w:p w14:paraId="49768704" w14:textId="2CBCD3EA" w:rsidR="008272CC" w:rsidRDefault="008272CC" w:rsidP="008272CC">
      <w:pPr>
        <w:pStyle w:val="Reference"/>
        <w:numPr>
          <w:ilvl w:val="0"/>
          <w:numId w:val="17"/>
        </w:numPr>
        <w:textAlignment w:val="auto"/>
      </w:pPr>
      <w:bookmarkStart w:id="45" w:name="_Ref481778286"/>
      <w:bookmarkStart w:id="46" w:name="_Ref446579153"/>
      <w:bookmarkStart w:id="47" w:name="_Ref462960254"/>
      <w:r w:rsidRPr="008272CC">
        <w:t>R2-1704427</w:t>
      </w:r>
      <w:r>
        <w:t xml:space="preserve">, </w:t>
      </w:r>
      <w:r w:rsidRPr="008272CC">
        <w:t>Transmission of NR RRC measurement configuration and reports in EN-DC</w:t>
      </w:r>
      <w:r>
        <w:t>, Ericsson, RAN2#98.</w:t>
      </w:r>
      <w:bookmarkEnd w:id="45"/>
    </w:p>
    <w:p w14:paraId="15404218" w14:textId="34B61CAA" w:rsidR="002D5FB1" w:rsidRPr="008C7695" w:rsidRDefault="002D5FB1" w:rsidP="002D5FB1">
      <w:pPr>
        <w:pStyle w:val="Reference"/>
        <w:numPr>
          <w:ilvl w:val="0"/>
          <w:numId w:val="17"/>
        </w:numPr>
        <w:textAlignment w:val="auto"/>
      </w:pPr>
      <w:bookmarkStart w:id="48" w:name="_Ref481778301"/>
      <w:r w:rsidRPr="008C7695">
        <w:t xml:space="preserve">3GPP TS 36.300, </w:t>
      </w:r>
      <w:bookmarkEnd w:id="46"/>
      <w:r w:rsidRPr="008C7695">
        <w:t>3rd Generation Partnership Project; Technical Specification Group Radio Access Network; Evolved Universal Terrestrial Radio Access (E-UTRA) and Evolved Universal Terrestrial Radio Access Network.</w:t>
      </w:r>
      <w:bookmarkEnd w:id="47"/>
      <w:bookmarkEnd w:id="48"/>
      <w:r w:rsidRPr="008C7695">
        <w:t xml:space="preserve"> </w:t>
      </w:r>
    </w:p>
    <w:p w14:paraId="5D3456D4" w14:textId="77777777" w:rsidR="002D5FB1" w:rsidRDefault="002D5FB1" w:rsidP="002D5FB1">
      <w:pPr>
        <w:pStyle w:val="BodyText"/>
      </w:pPr>
    </w:p>
    <w:p w14:paraId="3BF3E120" w14:textId="77777777" w:rsidR="002D5FB1" w:rsidRPr="0086686D" w:rsidRDefault="002D5FB1" w:rsidP="002D5FB1"/>
    <w:p w14:paraId="0260081F" w14:textId="77777777" w:rsidR="003A7EF3" w:rsidRPr="002D5FB1" w:rsidRDefault="003A7EF3" w:rsidP="002D5FB1"/>
    <w:sectPr w:rsidR="003A7EF3" w:rsidRPr="002D5FB1" w:rsidSect="000E32B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221D8" w14:textId="77777777" w:rsidR="00CE154C" w:rsidRDefault="00CE154C">
      <w:r>
        <w:separator/>
      </w:r>
    </w:p>
  </w:endnote>
  <w:endnote w:type="continuationSeparator" w:id="0">
    <w:p w14:paraId="3874D0AB" w14:textId="77777777" w:rsidR="00CE154C" w:rsidRDefault="00CE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Consolas">
    <w:panose1 w:val="020B0609020204030204"/>
    <w:charset w:val="00"/>
    <w:family w:val="modern"/>
    <w:pitch w:val="fixed"/>
    <w:sig w:usb0="E10002FF" w:usb1="4000FCFF" w:usb2="00000009"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1FD22E4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04D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04D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100F0" w14:textId="77777777" w:rsidR="00CE154C" w:rsidRDefault="00CE154C">
      <w:r>
        <w:separator/>
      </w:r>
    </w:p>
  </w:footnote>
  <w:footnote w:type="continuationSeparator" w:id="0">
    <w:p w14:paraId="17570F9D" w14:textId="77777777" w:rsidR="00CE154C" w:rsidRDefault="00CE1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BB8AF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6A4134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73C7A4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824B17"/>
    <w:multiLevelType w:val="hybridMultilevel"/>
    <w:tmpl w:val="11625792"/>
    <w:lvl w:ilvl="0" w:tplc="1E9EF182">
      <w:numFmt w:val="bullet"/>
      <w:lvlText w:val="–"/>
      <w:lvlJc w:val="left"/>
      <w:pPr>
        <w:tabs>
          <w:tab w:val="num" w:pos="360"/>
        </w:tabs>
        <w:ind w:left="360" w:hanging="360"/>
      </w:pPr>
      <w:rPr>
        <w:rFonts w:ascii="Ericsson Capital TT" w:hAnsi="Ericsson Capital TT"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A879FE"/>
    <w:multiLevelType w:val="hybridMultilevel"/>
    <w:tmpl w:val="B3C8ACDE"/>
    <w:lvl w:ilvl="0" w:tplc="5BA8D742">
      <w:start w:val="1"/>
      <w:numFmt w:val="bullet"/>
      <w:lvlText w:val="›"/>
      <w:lvlJc w:val="left"/>
      <w:pPr>
        <w:tabs>
          <w:tab w:val="num" w:pos="720"/>
        </w:tabs>
        <w:ind w:left="720" w:hanging="360"/>
      </w:pPr>
      <w:rPr>
        <w:rFonts w:ascii="Arial" w:hAnsi="Arial" w:hint="default"/>
      </w:rPr>
    </w:lvl>
    <w:lvl w:ilvl="1" w:tplc="A8B81BFA">
      <w:numFmt w:val="bullet"/>
      <w:lvlText w:val="–"/>
      <w:lvlJc w:val="left"/>
      <w:pPr>
        <w:tabs>
          <w:tab w:val="num" w:pos="1440"/>
        </w:tabs>
        <w:ind w:left="1440" w:hanging="360"/>
      </w:pPr>
      <w:rPr>
        <w:rFonts w:ascii="Ericsson Capital TT" w:hAnsi="Ericsson Capital TT" w:hint="default"/>
      </w:rPr>
    </w:lvl>
    <w:lvl w:ilvl="2" w:tplc="AB46260A" w:tentative="1">
      <w:start w:val="1"/>
      <w:numFmt w:val="bullet"/>
      <w:lvlText w:val="›"/>
      <w:lvlJc w:val="left"/>
      <w:pPr>
        <w:tabs>
          <w:tab w:val="num" w:pos="2160"/>
        </w:tabs>
        <w:ind w:left="2160" w:hanging="360"/>
      </w:pPr>
      <w:rPr>
        <w:rFonts w:ascii="Arial" w:hAnsi="Arial" w:hint="default"/>
      </w:rPr>
    </w:lvl>
    <w:lvl w:ilvl="3" w:tplc="D83E5C30" w:tentative="1">
      <w:start w:val="1"/>
      <w:numFmt w:val="bullet"/>
      <w:lvlText w:val="›"/>
      <w:lvlJc w:val="left"/>
      <w:pPr>
        <w:tabs>
          <w:tab w:val="num" w:pos="2880"/>
        </w:tabs>
        <w:ind w:left="2880" w:hanging="360"/>
      </w:pPr>
      <w:rPr>
        <w:rFonts w:ascii="Arial" w:hAnsi="Arial" w:hint="default"/>
      </w:rPr>
    </w:lvl>
    <w:lvl w:ilvl="4" w:tplc="05ECA986" w:tentative="1">
      <w:start w:val="1"/>
      <w:numFmt w:val="bullet"/>
      <w:lvlText w:val="›"/>
      <w:lvlJc w:val="left"/>
      <w:pPr>
        <w:tabs>
          <w:tab w:val="num" w:pos="3600"/>
        </w:tabs>
        <w:ind w:left="3600" w:hanging="360"/>
      </w:pPr>
      <w:rPr>
        <w:rFonts w:ascii="Arial" w:hAnsi="Arial" w:hint="default"/>
      </w:rPr>
    </w:lvl>
    <w:lvl w:ilvl="5" w:tplc="06007EC2" w:tentative="1">
      <w:start w:val="1"/>
      <w:numFmt w:val="bullet"/>
      <w:lvlText w:val="›"/>
      <w:lvlJc w:val="left"/>
      <w:pPr>
        <w:tabs>
          <w:tab w:val="num" w:pos="4320"/>
        </w:tabs>
        <w:ind w:left="4320" w:hanging="360"/>
      </w:pPr>
      <w:rPr>
        <w:rFonts w:ascii="Arial" w:hAnsi="Arial" w:hint="default"/>
      </w:rPr>
    </w:lvl>
    <w:lvl w:ilvl="6" w:tplc="498C1146" w:tentative="1">
      <w:start w:val="1"/>
      <w:numFmt w:val="bullet"/>
      <w:lvlText w:val="›"/>
      <w:lvlJc w:val="left"/>
      <w:pPr>
        <w:tabs>
          <w:tab w:val="num" w:pos="5040"/>
        </w:tabs>
        <w:ind w:left="5040" w:hanging="360"/>
      </w:pPr>
      <w:rPr>
        <w:rFonts w:ascii="Arial" w:hAnsi="Arial" w:hint="default"/>
      </w:rPr>
    </w:lvl>
    <w:lvl w:ilvl="7" w:tplc="03E4B22A" w:tentative="1">
      <w:start w:val="1"/>
      <w:numFmt w:val="bullet"/>
      <w:lvlText w:val="›"/>
      <w:lvlJc w:val="left"/>
      <w:pPr>
        <w:tabs>
          <w:tab w:val="num" w:pos="5760"/>
        </w:tabs>
        <w:ind w:left="5760" w:hanging="360"/>
      </w:pPr>
      <w:rPr>
        <w:rFonts w:ascii="Arial" w:hAnsi="Arial" w:hint="default"/>
      </w:rPr>
    </w:lvl>
    <w:lvl w:ilvl="8" w:tplc="7416CE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55966EA"/>
    <w:multiLevelType w:val="hybridMultilevel"/>
    <w:tmpl w:val="2E0A801C"/>
    <w:lvl w:ilvl="0" w:tplc="FC32B5C0">
      <w:start w:val="1"/>
      <w:numFmt w:val="bullet"/>
      <w:lvlText w:val="›"/>
      <w:lvlJc w:val="left"/>
      <w:pPr>
        <w:tabs>
          <w:tab w:val="num" w:pos="720"/>
        </w:tabs>
        <w:ind w:left="720" w:hanging="360"/>
      </w:pPr>
      <w:rPr>
        <w:rFonts w:ascii="Arial" w:hAnsi="Arial" w:hint="default"/>
      </w:rPr>
    </w:lvl>
    <w:lvl w:ilvl="1" w:tplc="1E9EF182">
      <w:numFmt w:val="bullet"/>
      <w:lvlText w:val="–"/>
      <w:lvlJc w:val="left"/>
      <w:pPr>
        <w:tabs>
          <w:tab w:val="num" w:pos="1440"/>
        </w:tabs>
        <w:ind w:left="1440" w:hanging="360"/>
      </w:pPr>
      <w:rPr>
        <w:rFonts w:ascii="Ericsson Capital TT" w:hAnsi="Ericsson Capital TT" w:hint="default"/>
      </w:rPr>
    </w:lvl>
    <w:lvl w:ilvl="2" w:tplc="9348B454">
      <w:numFmt w:val="bullet"/>
      <w:lvlText w:val="›"/>
      <w:lvlJc w:val="left"/>
      <w:pPr>
        <w:tabs>
          <w:tab w:val="num" w:pos="2160"/>
        </w:tabs>
        <w:ind w:left="2160" w:hanging="360"/>
      </w:pPr>
      <w:rPr>
        <w:rFonts w:ascii="Ericsson Capital TT" w:hAnsi="Ericsson Capital TT" w:hint="default"/>
      </w:rPr>
    </w:lvl>
    <w:lvl w:ilvl="3" w:tplc="AFAC0754" w:tentative="1">
      <w:start w:val="1"/>
      <w:numFmt w:val="bullet"/>
      <w:lvlText w:val="›"/>
      <w:lvlJc w:val="left"/>
      <w:pPr>
        <w:tabs>
          <w:tab w:val="num" w:pos="2880"/>
        </w:tabs>
        <w:ind w:left="2880" w:hanging="360"/>
      </w:pPr>
      <w:rPr>
        <w:rFonts w:ascii="Arial" w:hAnsi="Arial" w:hint="default"/>
      </w:rPr>
    </w:lvl>
    <w:lvl w:ilvl="4" w:tplc="78C81648" w:tentative="1">
      <w:start w:val="1"/>
      <w:numFmt w:val="bullet"/>
      <w:lvlText w:val="›"/>
      <w:lvlJc w:val="left"/>
      <w:pPr>
        <w:tabs>
          <w:tab w:val="num" w:pos="3600"/>
        </w:tabs>
        <w:ind w:left="3600" w:hanging="360"/>
      </w:pPr>
      <w:rPr>
        <w:rFonts w:ascii="Arial" w:hAnsi="Arial" w:hint="default"/>
      </w:rPr>
    </w:lvl>
    <w:lvl w:ilvl="5" w:tplc="05D65524" w:tentative="1">
      <w:start w:val="1"/>
      <w:numFmt w:val="bullet"/>
      <w:lvlText w:val="›"/>
      <w:lvlJc w:val="left"/>
      <w:pPr>
        <w:tabs>
          <w:tab w:val="num" w:pos="4320"/>
        </w:tabs>
        <w:ind w:left="4320" w:hanging="360"/>
      </w:pPr>
      <w:rPr>
        <w:rFonts w:ascii="Arial" w:hAnsi="Arial" w:hint="default"/>
      </w:rPr>
    </w:lvl>
    <w:lvl w:ilvl="6" w:tplc="C27202EA" w:tentative="1">
      <w:start w:val="1"/>
      <w:numFmt w:val="bullet"/>
      <w:lvlText w:val="›"/>
      <w:lvlJc w:val="left"/>
      <w:pPr>
        <w:tabs>
          <w:tab w:val="num" w:pos="5040"/>
        </w:tabs>
        <w:ind w:left="5040" w:hanging="360"/>
      </w:pPr>
      <w:rPr>
        <w:rFonts w:ascii="Arial" w:hAnsi="Arial" w:hint="default"/>
      </w:rPr>
    </w:lvl>
    <w:lvl w:ilvl="7" w:tplc="1B8C3D04" w:tentative="1">
      <w:start w:val="1"/>
      <w:numFmt w:val="bullet"/>
      <w:lvlText w:val="›"/>
      <w:lvlJc w:val="left"/>
      <w:pPr>
        <w:tabs>
          <w:tab w:val="num" w:pos="5760"/>
        </w:tabs>
        <w:ind w:left="5760" w:hanging="360"/>
      </w:pPr>
      <w:rPr>
        <w:rFonts w:ascii="Arial" w:hAnsi="Arial" w:hint="default"/>
      </w:rPr>
    </w:lvl>
    <w:lvl w:ilvl="8" w:tplc="431015B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9"/>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5"/>
  </w:num>
  <w:num w:numId="22">
    <w:abstractNumId w:val="17"/>
  </w:num>
  <w:num w:numId="23">
    <w:abstractNumId w:val="5"/>
  </w:num>
  <w:num w:numId="24">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449"/>
    <w:rsid w:val="00077E5F"/>
    <w:rsid w:val="0008036A"/>
    <w:rsid w:val="00081AE6"/>
    <w:rsid w:val="000855EB"/>
    <w:rsid w:val="00085B52"/>
    <w:rsid w:val="000866F2"/>
    <w:rsid w:val="0009009F"/>
    <w:rsid w:val="00091557"/>
    <w:rsid w:val="00092276"/>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2B8"/>
    <w:rsid w:val="000E5CA7"/>
    <w:rsid w:val="000F06D6"/>
    <w:rsid w:val="000F0EB1"/>
    <w:rsid w:val="000F0FD9"/>
    <w:rsid w:val="000F1106"/>
    <w:rsid w:val="000F3BE9"/>
    <w:rsid w:val="000F3F6C"/>
    <w:rsid w:val="000F6DF3"/>
    <w:rsid w:val="001005FF"/>
    <w:rsid w:val="001062FB"/>
    <w:rsid w:val="001063E6"/>
    <w:rsid w:val="00113CF4"/>
    <w:rsid w:val="001153EA"/>
    <w:rsid w:val="00115643"/>
    <w:rsid w:val="00115967"/>
    <w:rsid w:val="00116765"/>
    <w:rsid w:val="001219F5"/>
    <w:rsid w:val="00121A20"/>
    <w:rsid w:val="0012377F"/>
    <w:rsid w:val="00124314"/>
    <w:rsid w:val="00126B4A"/>
    <w:rsid w:val="00132FD0"/>
    <w:rsid w:val="001344C0"/>
    <w:rsid w:val="001346FA"/>
    <w:rsid w:val="00135252"/>
    <w:rsid w:val="00137AB5"/>
    <w:rsid w:val="00137F0B"/>
    <w:rsid w:val="00141D0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40AD"/>
    <w:rsid w:val="001D2098"/>
    <w:rsid w:val="001D51BA"/>
    <w:rsid w:val="001D6342"/>
    <w:rsid w:val="001D6D53"/>
    <w:rsid w:val="001E58E2"/>
    <w:rsid w:val="001E7AED"/>
    <w:rsid w:val="001F3916"/>
    <w:rsid w:val="001F54C5"/>
    <w:rsid w:val="001F662C"/>
    <w:rsid w:val="001F7074"/>
    <w:rsid w:val="00200490"/>
    <w:rsid w:val="00201F3A"/>
    <w:rsid w:val="00202142"/>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2549"/>
    <w:rsid w:val="00264228"/>
    <w:rsid w:val="00264334"/>
    <w:rsid w:val="0026473E"/>
    <w:rsid w:val="00266214"/>
    <w:rsid w:val="00267C83"/>
    <w:rsid w:val="0027144F"/>
    <w:rsid w:val="00271F3A"/>
    <w:rsid w:val="002724BE"/>
    <w:rsid w:val="002729E7"/>
    <w:rsid w:val="00273278"/>
    <w:rsid w:val="002737F4"/>
    <w:rsid w:val="002805F5"/>
    <w:rsid w:val="00280751"/>
    <w:rsid w:val="0028280A"/>
    <w:rsid w:val="00286ACD"/>
    <w:rsid w:val="00287838"/>
    <w:rsid w:val="002907B5"/>
    <w:rsid w:val="00292EB7"/>
    <w:rsid w:val="002942FB"/>
    <w:rsid w:val="00296227"/>
    <w:rsid w:val="00296F44"/>
    <w:rsid w:val="0029777D"/>
    <w:rsid w:val="002A055E"/>
    <w:rsid w:val="002A1D4E"/>
    <w:rsid w:val="002A2869"/>
    <w:rsid w:val="002B054F"/>
    <w:rsid w:val="002B24D6"/>
    <w:rsid w:val="002C41E6"/>
    <w:rsid w:val="002D071A"/>
    <w:rsid w:val="002D34B2"/>
    <w:rsid w:val="002D5FB1"/>
    <w:rsid w:val="002D7637"/>
    <w:rsid w:val="002E17F2"/>
    <w:rsid w:val="002E4F17"/>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5999"/>
    <w:rsid w:val="00331751"/>
    <w:rsid w:val="00334579"/>
    <w:rsid w:val="00335858"/>
    <w:rsid w:val="00336BDA"/>
    <w:rsid w:val="00342BD7"/>
    <w:rsid w:val="00343A07"/>
    <w:rsid w:val="00346DB5"/>
    <w:rsid w:val="003477B1"/>
    <w:rsid w:val="003553B3"/>
    <w:rsid w:val="00357380"/>
    <w:rsid w:val="003602D9"/>
    <w:rsid w:val="003604CE"/>
    <w:rsid w:val="00370E47"/>
    <w:rsid w:val="003742AC"/>
    <w:rsid w:val="00376185"/>
    <w:rsid w:val="00377CE1"/>
    <w:rsid w:val="00385BF0"/>
    <w:rsid w:val="003939FF"/>
    <w:rsid w:val="003973D7"/>
    <w:rsid w:val="003A2223"/>
    <w:rsid w:val="003A2A0F"/>
    <w:rsid w:val="003A45A1"/>
    <w:rsid w:val="003A5B0A"/>
    <w:rsid w:val="003A6BAC"/>
    <w:rsid w:val="003A7EF3"/>
    <w:rsid w:val="003B159C"/>
    <w:rsid w:val="003B369F"/>
    <w:rsid w:val="003B36A3"/>
    <w:rsid w:val="003B7FE5"/>
    <w:rsid w:val="003C11C8"/>
    <w:rsid w:val="003C20D8"/>
    <w:rsid w:val="003C2702"/>
    <w:rsid w:val="003C4B19"/>
    <w:rsid w:val="003C7806"/>
    <w:rsid w:val="003D109F"/>
    <w:rsid w:val="003D2478"/>
    <w:rsid w:val="003D3C45"/>
    <w:rsid w:val="003D5B1F"/>
    <w:rsid w:val="003E15FA"/>
    <w:rsid w:val="003E55E4"/>
    <w:rsid w:val="003E74E3"/>
    <w:rsid w:val="003F05C7"/>
    <w:rsid w:val="003F2CD4"/>
    <w:rsid w:val="003F6BBE"/>
    <w:rsid w:val="004000E8"/>
    <w:rsid w:val="0040036A"/>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2576"/>
    <w:rsid w:val="004846DB"/>
    <w:rsid w:val="004849F4"/>
    <w:rsid w:val="00485AB2"/>
    <w:rsid w:val="00492BC5"/>
    <w:rsid w:val="004964F1"/>
    <w:rsid w:val="004A16BC"/>
    <w:rsid w:val="004A2B94"/>
    <w:rsid w:val="004B2A56"/>
    <w:rsid w:val="004B7C0C"/>
    <w:rsid w:val="004C3898"/>
    <w:rsid w:val="004D35CA"/>
    <w:rsid w:val="004D36B1"/>
    <w:rsid w:val="004D7EBD"/>
    <w:rsid w:val="004E2680"/>
    <w:rsid w:val="004E28F9"/>
    <w:rsid w:val="004E462E"/>
    <w:rsid w:val="004E56DC"/>
    <w:rsid w:val="004E76F4"/>
    <w:rsid w:val="004F0B4E"/>
    <w:rsid w:val="004F0B6C"/>
    <w:rsid w:val="004F2078"/>
    <w:rsid w:val="004F4DA3"/>
    <w:rsid w:val="00500B12"/>
    <w:rsid w:val="00503D42"/>
    <w:rsid w:val="00506557"/>
    <w:rsid w:val="0050677A"/>
    <w:rsid w:val="005108D8"/>
    <w:rsid w:val="005116F9"/>
    <w:rsid w:val="005153A7"/>
    <w:rsid w:val="005219CF"/>
    <w:rsid w:val="0053269E"/>
    <w:rsid w:val="00534B59"/>
    <w:rsid w:val="00536759"/>
    <w:rsid w:val="00537C62"/>
    <w:rsid w:val="00544421"/>
    <w:rsid w:val="00546970"/>
    <w:rsid w:val="00554E19"/>
    <w:rsid w:val="00557C68"/>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666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224"/>
    <w:rsid w:val="006377EC"/>
    <w:rsid w:val="0064151F"/>
    <w:rsid w:val="00641533"/>
    <w:rsid w:val="0064208D"/>
    <w:rsid w:val="00643475"/>
    <w:rsid w:val="0064396A"/>
    <w:rsid w:val="0064624E"/>
    <w:rsid w:val="00650AB9"/>
    <w:rsid w:val="00650BE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228"/>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868"/>
    <w:rsid w:val="006F58D4"/>
    <w:rsid w:val="0070346E"/>
    <w:rsid w:val="00704EDB"/>
    <w:rsid w:val="00706101"/>
    <w:rsid w:val="00707072"/>
    <w:rsid w:val="00707D61"/>
    <w:rsid w:val="00712287"/>
    <w:rsid w:val="00712772"/>
    <w:rsid w:val="007148D3"/>
    <w:rsid w:val="00714C72"/>
    <w:rsid w:val="00715B9A"/>
    <w:rsid w:val="00726EA6"/>
    <w:rsid w:val="00727208"/>
    <w:rsid w:val="00727680"/>
    <w:rsid w:val="007348B1"/>
    <w:rsid w:val="00735E01"/>
    <w:rsid w:val="007362A6"/>
    <w:rsid w:val="00736D7D"/>
    <w:rsid w:val="00740E58"/>
    <w:rsid w:val="007445A0"/>
    <w:rsid w:val="0074524B"/>
    <w:rsid w:val="00747D8B"/>
    <w:rsid w:val="00751228"/>
    <w:rsid w:val="007571E1"/>
    <w:rsid w:val="007604B2"/>
    <w:rsid w:val="00764D2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3EBC"/>
    <w:rsid w:val="007B50AE"/>
    <w:rsid w:val="007B51DF"/>
    <w:rsid w:val="007C05DD"/>
    <w:rsid w:val="007C3D18"/>
    <w:rsid w:val="007C60BF"/>
    <w:rsid w:val="007C6A07"/>
    <w:rsid w:val="007C75A1"/>
    <w:rsid w:val="007C77A5"/>
    <w:rsid w:val="007D04E5"/>
    <w:rsid w:val="007D33C1"/>
    <w:rsid w:val="007D5901"/>
    <w:rsid w:val="007D7526"/>
    <w:rsid w:val="007D75DC"/>
    <w:rsid w:val="007E4610"/>
    <w:rsid w:val="007E4715"/>
    <w:rsid w:val="007E505B"/>
    <w:rsid w:val="007E7091"/>
    <w:rsid w:val="007F11C6"/>
    <w:rsid w:val="00800EC5"/>
    <w:rsid w:val="00802253"/>
    <w:rsid w:val="00803FAE"/>
    <w:rsid w:val="0080605F"/>
    <w:rsid w:val="00807786"/>
    <w:rsid w:val="00811FCB"/>
    <w:rsid w:val="008158D6"/>
    <w:rsid w:val="00817196"/>
    <w:rsid w:val="008235DB"/>
    <w:rsid w:val="00824AB4"/>
    <w:rsid w:val="00825C42"/>
    <w:rsid w:val="00825D25"/>
    <w:rsid w:val="008272CC"/>
    <w:rsid w:val="00827D6F"/>
    <w:rsid w:val="008376AC"/>
    <w:rsid w:val="008444E8"/>
    <w:rsid w:val="00844E80"/>
    <w:rsid w:val="00846FE7"/>
    <w:rsid w:val="00854F97"/>
    <w:rsid w:val="008554A3"/>
    <w:rsid w:val="00856911"/>
    <w:rsid w:val="008653DF"/>
    <w:rsid w:val="0086686D"/>
    <w:rsid w:val="008677FD"/>
    <w:rsid w:val="008706D4"/>
    <w:rsid w:val="00870F8A"/>
    <w:rsid w:val="008719A4"/>
    <w:rsid w:val="00871D23"/>
    <w:rsid w:val="00874312"/>
    <w:rsid w:val="0087437C"/>
    <w:rsid w:val="00875CD7"/>
    <w:rsid w:val="00876B4D"/>
    <w:rsid w:val="00877F18"/>
    <w:rsid w:val="00882C5A"/>
    <w:rsid w:val="00894A88"/>
    <w:rsid w:val="00895386"/>
    <w:rsid w:val="008A21FF"/>
    <w:rsid w:val="008A2CE2"/>
    <w:rsid w:val="008A30AC"/>
    <w:rsid w:val="008A44B8"/>
    <w:rsid w:val="008A51A8"/>
    <w:rsid w:val="008A54C7"/>
    <w:rsid w:val="008A77D8"/>
    <w:rsid w:val="008B0483"/>
    <w:rsid w:val="008B120C"/>
    <w:rsid w:val="008B1CD5"/>
    <w:rsid w:val="008B29BD"/>
    <w:rsid w:val="008B51A0"/>
    <w:rsid w:val="008B592A"/>
    <w:rsid w:val="008B7B5C"/>
    <w:rsid w:val="008C0C99"/>
    <w:rsid w:val="008C2017"/>
    <w:rsid w:val="008C4465"/>
    <w:rsid w:val="008C4958"/>
    <w:rsid w:val="008C4BAA"/>
    <w:rsid w:val="008C6AE8"/>
    <w:rsid w:val="008C7573"/>
    <w:rsid w:val="008C7695"/>
    <w:rsid w:val="008D34F1"/>
    <w:rsid w:val="008D39D8"/>
    <w:rsid w:val="008D48FA"/>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388"/>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747"/>
    <w:rsid w:val="00976949"/>
    <w:rsid w:val="00980477"/>
    <w:rsid w:val="00985253"/>
    <w:rsid w:val="009853B3"/>
    <w:rsid w:val="0098600F"/>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5CC3"/>
    <w:rsid w:val="00A13E54"/>
    <w:rsid w:val="00A17F63"/>
    <w:rsid w:val="00A2193B"/>
    <w:rsid w:val="00A2351A"/>
    <w:rsid w:val="00A264A9"/>
    <w:rsid w:val="00A27785"/>
    <w:rsid w:val="00A30187"/>
    <w:rsid w:val="00A3414A"/>
    <w:rsid w:val="00A3448A"/>
    <w:rsid w:val="00A36297"/>
    <w:rsid w:val="00A41E2B"/>
    <w:rsid w:val="00A43377"/>
    <w:rsid w:val="00A45B74"/>
    <w:rsid w:val="00A52E1D"/>
    <w:rsid w:val="00A61499"/>
    <w:rsid w:val="00A62A77"/>
    <w:rsid w:val="00A63483"/>
    <w:rsid w:val="00A657D7"/>
    <w:rsid w:val="00A660AC"/>
    <w:rsid w:val="00A67E6C"/>
    <w:rsid w:val="00A70BE1"/>
    <w:rsid w:val="00A71B99"/>
    <w:rsid w:val="00A739D0"/>
    <w:rsid w:val="00A761D4"/>
    <w:rsid w:val="00A77EC4"/>
    <w:rsid w:val="00A84378"/>
    <w:rsid w:val="00A90B61"/>
    <w:rsid w:val="00A91579"/>
    <w:rsid w:val="00A92879"/>
    <w:rsid w:val="00A9442A"/>
    <w:rsid w:val="00AA016F"/>
    <w:rsid w:val="00AA1ED6"/>
    <w:rsid w:val="00AA51D6"/>
    <w:rsid w:val="00AB0BC8"/>
    <w:rsid w:val="00AB11CA"/>
    <w:rsid w:val="00AB14D9"/>
    <w:rsid w:val="00AB4AB8"/>
    <w:rsid w:val="00AB655E"/>
    <w:rsid w:val="00AB751D"/>
    <w:rsid w:val="00AC007F"/>
    <w:rsid w:val="00AC2ECD"/>
    <w:rsid w:val="00AC3119"/>
    <w:rsid w:val="00AC482C"/>
    <w:rsid w:val="00AC49FB"/>
    <w:rsid w:val="00AC5A10"/>
    <w:rsid w:val="00AC6C4C"/>
    <w:rsid w:val="00AD0AA3"/>
    <w:rsid w:val="00AD165F"/>
    <w:rsid w:val="00AD3F94"/>
    <w:rsid w:val="00AD4A5A"/>
    <w:rsid w:val="00AE27AC"/>
    <w:rsid w:val="00AE3743"/>
    <w:rsid w:val="00AE40E0"/>
    <w:rsid w:val="00AE4DBA"/>
    <w:rsid w:val="00AE4F07"/>
    <w:rsid w:val="00AF1C5D"/>
    <w:rsid w:val="00AF42D7"/>
    <w:rsid w:val="00B006FE"/>
    <w:rsid w:val="00B007CB"/>
    <w:rsid w:val="00B02AA9"/>
    <w:rsid w:val="00B02B15"/>
    <w:rsid w:val="00B02FA3"/>
    <w:rsid w:val="00B05084"/>
    <w:rsid w:val="00B10481"/>
    <w:rsid w:val="00B104D7"/>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2BD7"/>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D7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0E7E"/>
    <w:rsid w:val="00C33212"/>
    <w:rsid w:val="00C3719D"/>
    <w:rsid w:val="00C54995"/>
    <w:rsid w:val="00C54D41"/>
    <w:rsid w:val="00C60783"/>
    <w:rsid w:val="00C64672"/>
    <w:rsid w:val="00C70697"/>
    <w:rsid w:val="00C72EF4"/>
    <w:rsid w:val="00C75D2F"/>
    <w:rsid w:val="00C767BE"/>
    <w:rsid w:val="00C76E3C"/>
    <w:rsid w:val="00C81568"/>
    <w:rsid w:val="00C858B9"/>
    <w:rsid w:val="00C9027A"/>
    <w:rsid w:val="00C9068E"/>
    <w:rsid w:val="00C9230E"/>
    <w:rsid w:val="00C93C4B"/>
    <w:rsid w:val="00C944AB"/>
    <w:rsid w:val="00C95B40"/>
    <w:rsid w:val="00CA1ED8"/>
    <w:rsid w:val="00CA5417"/>
    <w:rsid w:val="00CB1F63"/>
    <w:rsid w:val="00CB7170"/>
    <w:rsid w:val="00CC040E"/>
    <w:rsid w:val="00CC111F"/>
    <w:rsid w:val="00CC2011"/>
    <w:rsid w:val="00CC3EA0"/>
    <w:rsid w:val="00CC7B45"/>
    <w:rsid w:val="00CD1188"/>
    <w:rsid w:val="00CD2ED1"/>
    <w:rsid w:val="00CD337B"/>
    <w:rsid w:val="00CD4030"/>
    <w:rsid w:val="00CE0424"/>
    <w:rsid w:val="00CE154C"/>
    <w:rsid w:val="00CE4DCE"/>
    <w:rsid w:val="00CE7401"/>
    <w:rsid w:val="00CE7561"/>
    <w:rsid w:val="00CF1354"/>
    <w:rsid w:val="00CF3B1F"/>
    <w:rsid w:val="00CF3BF6"/>
    <w:rsid w:val="00CF42AE"/>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31A6"/>
    <w:rsid w:val="00E30B5A"/>
    <w:rsid w:val="00E3123D"/>
    <w:rsid w:val="00E31461"/>
    <w:rsid w:val="00E31D43"/>
    <w:rsid w:val="00E32608"/>
    <w:rsid w:val="00E34188"/>
    <w:rsid w:val="00E34B6E"/>
    <w:rsid w:val="00E34FC8"/>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488"/>
    <w:rsid w:val="00E87822"/>
    <w:rsid w:val="00E87ADB"/>
    <w:rsid w:val="00E90395"/>
    <w:rsid w:val="00E90E49"/>
    <w:rsid w:val="00E917F9"/>
    <w:rsid w:val="00E9291C"/>
    <w:rsid w:val="00E93FFE"/>
    <w:rsid w:val="00E94F8A"/>
    <w:rsid w:val="00EA7A41"/>
    <w:rsid w:val="00EB077B"/>
    <w:rsid w:val="00EB4EA2"/>
    <w:rsid w:val="00EC27C6"/>
    <w:rsid w:val="00EC4207"/>
    <w:rsid w:val="00EC5653"/>
    <w:rsid w:val="00EC71CE"/>
    <w:rsid w:val="00EC7442"/>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1F9"/>
    <w:rsid w:val="00FA2BB3"/>
    <w:rsid w:val="00FA6FA8"/>
    <w:rsid w:val="00FB4C80"/>
    <w:rsid w:val="00FB6A6A"/>
    <w:rsid w:val="00FC0317"/>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docId w15:val="{7B1792C6-0B0D-4CFD-BDEF-D7AF11483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437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843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8437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84378"/>
    <w:pPr>
      <w:numPr>
        <w:ilvl w:val="2"/>
      </w:numPr>
      <w:spacing w:before="120"/>
      <w:outlineLvl w:val="2"/>
    </w:pPr>
    <w:rPr>
      <w:sz w:val="28"/>
      <w:szCs w:val="28"/>
    </w:rPr>
  </w:style>
  <w:style w:type="paragraph" w:styleId="Heading4">
    <w:name w:val="heading 4"/>
    <w:basedOn w:val="Heading3"/>
    <w:next w:val="Normal"/>
    <w:qFormat/>
    <w:rsid w:val="00A84378"/>
    <w:pPr>
      <w:numPr>
        <w:ilvl w:val="3"/>
      </w:numPr>
      <w:outlineLvl w:val="3"/>
    </w:pPr>
    <w:rPr>
      <w:sz w:val="24"/>
      <w:szCs w:val="24"/>
    </w:rPr>
  </w:style>
  <w:style w:type="paragraph" w:styleId="Heading5">
    <w:name w:val="heading 5"/>
    <w:basedOn w:val="Heading4"/>
    <w:next w:val="Normal"/>
    <w:qFormat/>
    <w:rsid w:val="00A84378"/>
    <w:pPr>
      <w:numPr>
        <w:ilvl w:val="4"/>
      </w:numPr>
      <w:outlineLvl w:val="4"/>
    </w:pPr>
    <w:rPr>
      <w:sz w:val="22"/>
      <w:szCs w:val="22"/>
    </w:rPr>
  </w:style>
  <w:style w:type="paragraph" w:styleId="Heading6">
    <w:name w:val="heading 6"/>
    <w:basedOn w:val="Normal"/>
    <w:next w:val="Normal"/>
    <w:qFormat/>
    <w:rsid w:val="00A84378"/>
    <w:pPr>
      <w:keepNext/>
      <w:keepLines/>
      <w:numPr>
        <w:ilvl w:val="5"/>
        <w:numId w:val="1"/>
      </w:numPr>
      <w:spacing w:before="120"/>
      <w:outlineLvl w:val="5"/>
    </w:pPr>
    <w:rPr>
      <w:rFonts w:cs="Arial"/>
    </w:rPr>
  </w:style>
  <w:style w:type="paragraph" w:styleId="Heading7">
    <w:name w:val="heading 7"/>
    <w:basedOn w:val="Normal"/>
    <w:next w:val="Normal"/>
    <w:qFormat/>
    <w:rsid w:val="00A84378"/>
    <w:pPr>
      <w:keepNext/>
      <w:keepLines/>
      <w:numPr>
        <w:ilvl w:val="6"/>
        <w:numId w:val="1"/>
      </w:numPr>
      <w:spacing w:before="120"/>
      <w:outlineLvl w:val="6"/>
    </w:pPr>
    <w:rPr>
      <w:rFonts w:cs="Arial"/>
    </w:rPr>
  </w:style>
  <w:style w:type="paragraph" w:styleId="Heading8">
    <w:name w:val="heading 8"/>
    <w:basedOn w:val="Heading7"/>
    <w:next w:val="Normal"/>
    <w:qFormat/>
    <w:rsid w:val="00A84378"/>
    <w:pPr>
      <w:numPr>
        <w:ilvl w:val="7"/>
      </w:numPr>
      <w:outlineLvl w:val="7"/>
    </w:pPr>
  </w:style>
  <w:style w:type="paragraph" w:styleId="Heading9">
    <w:name w:val="heading 9"/>
    <w:basedOn w:val="Heading8"/>
    <w:next w:val="Normal"/>
    <w:qFormat/>
    <w:rsid w:val="00A8437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4378"/>
    <w:pPr>
      <w:spacing w:before="180"/>
      <w:ind w:left="2693" w:hanging="2693"/>
    </w:pPr>
    <w:rPr>
      <w:b w:val="0"/>
      <w:bCs/>
    </w:rPr>
  </w:style>
  <w:style w:type="paragraph" w:styleId="TOC1">
    <w:name w:val="toc 1"/>
    <w:aliases w:val="Observation TOC2"/>
    <w:uiPriority w:val="39"/>
    <w:rsid w:val="00A8437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84378"/>
    <w:pPr>
      <w:keepNext/>
      <w:keepLines/>
      <w:spacing w:before="180"/>
      <w:jc w:val="center"/>
    </w:pPr>
  </w:style>
  <w:style w:type="paragraph" w:styleId="Caption">
    <w:name w:val="caption"/>
    <w:basedOn w:val="Normal"/>
    <w:next w:val="Normal"/>
    <w:qFormat/>
    <w:rsid w:val="00A84378"/>
    <w:pPr>
      <w:spacing w:after="240"/>
      <w:jc w:val="center"/>
    </w:pPr>
    <w:rPr>
      <w:b/>
      <w:bCs/>
    </w:rPr>
  </w:style>
  <w:style w:type="paragraph" w:styleId="TOC5">
    <w:name w:val="toc 5"/>
    <w:aliases w:val="Observation TOC"/>
    <w:basedOn w:val="TOC4"/>
    <w:semiHidden/>
    <w:rsid w:val="00A84378"/>
    <w:pPr>
      <w:tabs>
        <w:tab w:val="right" w:pos="1701"/>
      </w:tabs>
      <w:ind w:left="1701" w:hanging="1701"/>
    </w:pPr>
  </w:style>
  <w:style w:type="paragraph" w:styleId="TOC4">
    <w:name w:val="toc 4"/>
    <w:basedOn w:val="TOC3"/>
    <w:semiHidden/>
    <w:rsid w:val="00A84378"/>
    <w:pPr>
      <w:ind w:left="1418" w:hanging="1418"/>
    </w:pPr>
  </w:style>
  <w:style w:type="paragraph" w:styleId="TOC3">
    <w:name w:val="toc 3"/>
    <w:basedOn w:val="TOC2"/>
    <w:semiHidden/>
    <w:rsid w:val="00A84378"/>
    <w:pPr>
      <w:ind w:left="1134" w:hanging="1134"/>
    </w:pPr>
  </w:style>
  <w:style w:type="paragraph" w:styleId="TOC2">
    <w:name w:val="toc 2"/>
    <w:basedOn w:val="TOC1"/>
    <w:semiHidden/>
    <w:rsid w:val="00A84378"/>
    <w:pPr>
      <w:keepNext w:val="0"/>
      <w:spacing w:before="0"/>
      <w:ind w:left="851" w:hanging="851"/>
    </w:pPr>
    <w:rPr>
      <w:szCs w:val="20"/>
    </w:rPr>
  </w:style>
  <w:style w:type="paragraph" w:styleId="Index2">
    <w:name w:val="index 2"/>
    <w:basedOn w:val="Index1"/>
    <w:semiHidden/>
    <w:rsid w:val="00A84378"/>
    <w:pPr>
      <w:ind w:left="284"/>
    </w:pPr>
  </w:style>
  <w:style w:type="paragraph" w:styleId="Index1">
    <w:name w:val="index 1"/>
    <w:basedOn w:val="Normal"/>
    <w:semiHidden/>
    <w:rsid w:val="00A84378"/>
    <w:pPr>
      <w:keepLines/>
      <w:spacing w:after="0"/>
    </w:pPr>
  </w:style>
  <w:style w:type="paragraph" w:styleId="DocumentMap">
    <w:name w:val="Document Map"/>
    <w:basedOn w:val="Normal"/>
    <w:semiHidden/>
    <w:rsid w:val="00A84378"/>
    <w:pPr>
      <w:shd w:val="clear" w:color="auto" w:fill="000080"/>
    </w:pPr>
    <w:rPr>
      <w:rFonts w:ascii="Tahoma" w:hAnsi="Tahoma" w:cs="Tahoma"/>
    </w:rPr>
  </w:style>
  <w:style w:type="paragraph" w:styleId="ListNumber2">
    <w:name w:val="List Number 2"/>
    <w:basedOn w:val="ListNumber"/>
    <w:rsid w:val="00A84378"/>
    <w:pPr>
      <w:ind w:left="851"/>
    </w:pPr>
  </w:style>
  <w:style w:type="paragraph" w:styleId="ListNumber">
    <w:name w:val="List Number"/>
    <w:basedOn w:val="List"/>
    <w:rsid w:val="00A84378"/>
  </w:style>
  <w:style w:type="paragraph" w:styleId="List">
    <w:name w:val="List"/>
    <w:basedOn w:val="Normal"/>
    <w:rsid w:val="00A84378"/>
    <w:pPr>
      <w:ind w:left="568" w:hanging="284"/>
    </w:pPr>
  </w:style>
  <w:style w:type="paragraph" w:styleId="Header">
    <w:name w:val="header"/>
    <w:rsid w:val="00A8437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4378"/>
    <w:rPr>
      <w:b/>
      <w:bCs/>
      <w:position w:val="6"/>
      <w:sz w:val="16"/>
      <w:szCs w:val="16"/>
    </w:rPr>
  </w:style>
  <w:style w:type="paragraph" w:styleId="FootnoteText">
    <w:name w:val="footnote text"/>
    <w:basedOn w:val="Normal"/>
    <w:semiHidden/>
    <w:rsid w:val="00A84378"/>
    <w:pPr>
      <w:keepLines/>
      <w:spacing w:after="0"/>
      <w:ind w:left="454" w:hanging="454"/>
    </w:pPr>
    <w:rPr>
      <w:sz w:val="16"/>
      <w:szCs w:val="16"/>
    </w:rPr>
  </w:style>
  <w:style w:type="paragraph" w:customStyle="1" w:styleId="3GPPHeader">
    <w:name w:val="3GPP_Header"/>
    <w:basedOn w:val="Normal"/>
    <w:rsid w:val="00A84378"/>
    <w:pPr>
      <w:tabs>
        <w:tab w:val="left" w:pos="1701"/>
        <w:tab w:val="right" w:pos="9639"/>
      </w:tabs>
      <w:spacing w:after="240"/>
    </w:pPr>
    <w:rPr>
      <w:b/>
      <w:sz w:val="24"/>
    </w:rPr>
  </w:style>
  <w:style w:type="paragraph" w:styleId="TOC9">
    <w:name w:val="toc 9"/>
    <w:basedOn w:val="TOC8"/>
    <w:semiHidden/>
    <w:rsid w:val="00A84378"/>
    <w:pPr>
      <w:ind w:left="1418" w:hanging="1418"/>
    </w:pPr>
  </w:style>
  <w:style w:type="paragraph" w:styleId="TOC6">
    <w:name w:val="toc 6"/>
    <w:basedOn w:val="TOC5"/>
    <w:next w:val="Normal"/>
    <w:semiHidden/>
    <w:rsid w:val="00A84378"/>
    <w:pPr>
      <w:ind w:left="1985" w:hanging="1985"/>
    </w:pPr>
  </w:style>
  <w:style w:type="paragraph" w:styleId="TOC7">
    <w:name w:val="toc 7"/>
    <w:basedOn w:val="TOC6"/>
    <w:next w:val="Normal"/>
    <w:semiHidden/>
    <w:rsid w:val="00A84378"/>
    <w:pPr>
      <w:ind w:left="2268" w:hanging="2268"/>
    </w:pPr>
  </w:style>
  <w:style w:type="paragraph" w:styleId="ListBullet2">
    <w:name w:val="List Bullet 2"/>
    <w:basedOn w:val="ListBullet"/>
    <w:rsid w:val="00A84378"/>
    <w:pPr>
      <w:numPr>
        <w:numId w:val="6"/>
      </w:numPr>
    </w:pPr>
  </w:style>
  <w:style w:type="paragraph" w:styleId="ListBullet">
    <w:name w:val="List Bullet"/>
    <w:basedOn w:val="BodyText"/>
    <w:rsid w:val="00A84378"/>
    <w:pPr>
      <w:numPr>
        <w:numId w:val="5"/>
      </w:numPr>
    </w:pPr>
  </w:style>
  <w:style w:type="paragraph" w:styleId="ListBullet3">
    <w:name w:val="List Bullet 3"/>
    <w:basedOn w:val="ListBullet2"/>
    <w:rsid w:val="00A84378"/>
    <w:pPr>
      <w:numPr>
        <w:numId w:val="7"/>
      </w:numPr>
    </w:pPr>
  </w:style>
  <w:style w:type="paragraph" w:customStyle="1" w:styleId="EQ">
    <w:name w:val="EQ"/>
    <w:basedOn w:val="Normal"/>
    <w:next w:val="Normal"/>
    <w:rsid w:val="00A84378"/>
    <w:pPr>
      <w:keepLines/>
      <w:tabs>
        <w:tab w:val="center" w:pos="4536"/>
        <w:tab w:val="right" w:pos="9072"/>
      </w:tabs>
      <w:spacing w:after="180"/>
      <w:jc w:val="left"/>
    </w:pPr>
    <w:rPr>
      <w:noProof/>
      <w:lang w:eastAsia="en-US"/>
    </w:rPr>
  </w:style>
  <w:style w:type="paragraph" w:styleId="List2">
    <w:name w:val="List 2"/>
    <w:basedOn w:val="List"/>
    <w:rsid w:val="00A84378"/>
    <w:pPr>
      <w:ind w:left="851"/>
    </w:pPr>
  </w:style>
  <w:style w:type="paragraph" w:styleId="List3">
    <w:name w:val="List 3"/>
    <w:basedOn w:val="List2"/>
    <w:rsid w:val="00A84378"/>
    <w:pPr>
      <w:ind w:left="1135"/>
    </w:pPr>
  </w:style>
  <w:style w:type="paragraph" w:styleId="List4">
    <w:name w:val="List 4"/>
    <w:basedOn w:val="List3"/>
    <w:rsid w:val="00A84378"/>
    <w:pPr>
      <w:ind w:left="1418"/>
    </w:pPr>
  </w:style>
  <w:style w:type="paragraph" w:styleId="List5">
    <w:name w:val="List 5"/>
    <w:basedOn w:val="List4"/>
    <w:rsid w:val="00A84378"/>
    <w:pPr>
      <w:ind w:left="1702"/>
    </w:pPr>
  </w:style>
  <w:style w:type="paragraph" w:customStyle="1" w:styleId="EditorsNote">
    <w:name w:val="Editor's Note"/>
    <w:basedOn w:val="Normal"/>
    <w:rsid w:val="00A84378"/>
    <w:pPr>
      <w:keepLines/>
      <w:spacing w:after="180"/>
      <w:ind w:left="1135" w:hanging="851"/>
      <w:jc w:val="left"/>
    </w:pPr>
    <w:rPr>
      <w:color w:val="FF0000"/>
      <w:lang w:eastAsia="en-US"/>
    </w:rPr>
  </w:style>
  <w:style w:type="paragraph" w:styleId="ListBullet4">
    <w:name w:val="List Bullet 4"/>
    <w:basedOn w:val="ListBullet3"/>
    <w:rsid w:val="00A84378"/>
    <w:pPr>
      <w:numPr>
        <w:numId w:val="8"/>
      </w:numPr>
    </w:pPr>
  </w:style>
  <w:style w:type="paragraph" w:styleId="ListBullet5">
    <w:name w:val="List Bullet 5"/>
    <w:basedOn w:val="ListBullet4"/>
    <w:rsid w:val="00A84378"/>
    <w:pPr>
      <w:numPr>
        <w:numId w:val="4"/>
      </w:numPr>
    </w:pPr>
  </w:style>
  <w:style w:type="paragraph" w:styleId="Footer">
    <w:name w:val="footer"/>
    <w:basedOn w:val="Header"/>
    <w:semiHidden/>
    <w:rsid w:val="00A84378"/>
    <w:pPr>
      <w:jc w:val="center"/>
    </w:pPr>
    <w:rPr>
      <w:i/>
      <w:iCs/>
    </w:rPr>
  </w:style>
  <w:style w:type="paragraph" w:customStyle="1" w:styleId="Reference">
    <w:name w:val="Reference"/>
    <w:basedOn w:val="Normal"/>
    <w:link w:val="ReferenceChar"/>
    <w:rsid w:val="00A84378"/>
    <w:pPr>
      <w:numPr>
        <w:numId w:val="2"/>
      </w:numPr>
    </w:pPr>
  </w:style>
  <w:style w:type="paragraph" w:styleId="BalloonText">
    <w:name w:val="Balloon Text"/>
    <w:basedOn w:val="Normal"/>
    <w:semiHidden/>
    <w:rsid w:val="00A84378"/>
    <w:rPr>
      <w:rFonts w:ascii="Tahoma" w:hAnsi="Tahoma" w:cs="Tahoma"/>
      <w:sz w:val="16"/>
      <w:szCs w:val="16"/>
    </w:rPr>
  </w:style>
  <w:style w:type="character" w:styleId="PageNumber">
    <w:name w:val="page number"/>
    <w:basedOn w:val="DefaultParagraphFont"/>
    <w:semiHidden/>
    <w:rsid w:val="00A84378"/>
  </w:style>
  <w:style w:type="paragraph" w:styleId="BodyText">
    <w:name w:val="Body Text"/>
    <w:basedOn w:val="Normal"/>
    <w:link w:val="BodyTextChar"/>
    <w:rsid w:val="00A84378"/>
  </w:style>
  <w:style w:type="character" w:styleId="Hyperlink">
    <w:name w:val="Hyperlink"/>
    <w:uiPriority w:val="99"/>
    <w:rsid w:val="00A84378"/>
    <w:rPr>
      <w:color w:val="0000FF"/>
      <w:u w:val="single"/>
      <w:lang w:val="en-GB"/>
    </w:rPr>
  </w:style>
  <w:style w:type="character" w:styleId="FollowedHyperlink">
    <w:name w:val="FollowedHyperlink"/>
    <w:semiHidden/>
    <w:rsid w:val="00A84378"/>
    <w:rPr>
      <w:color w:val="FF0000"/>
      <w:u w:val="single"/>
    </w:rPr>
  </w:style>
  <w:style w:type="character" w:styleId="CommentReference">
    <w:name w:val="annotation reference"/>
    <w:semiHidden/>
    <w:rsid w:val="00A84378"/>
    <w:rPr>
      <w:sz w:val="16"/>
      <w:szCs w:val="16"/>
    </w:rPr>
  </w:style>
  <w:style w:type="paragraph" w:styleId="CommentText">
    <w:name w:val="annotation text"/>
    <w:basedOn w:val="Normal"/>
    <w:link w:val="CommentTextChar"/>
    <w:semiHidden/>
    <w:rsid w:val="00A84378"/>
  </w:style>
  <w:style w:type="paragraph" w:styleId="CommentSubject">
    <w:name w:val="annotation subject"/>
    <w:basedOn w:val="CommentText"/>
    <w:next w:val="CommentText"/>
    <w:semiHidden/>
    <w:rsid w:val="00A84378"/>
    <w:rPr>
      <w:b/>
      <w:bCs/>
    </w:rPr>
  </w:style>
  <w:style w:type="character" w:customStyle="1" w:styleId="Heading1Char">
    <w:name w:val="Heading 1 Char"/>
    <w:link w:val="Heading1"/>
    <w:rsid w:val="00A84378"/>
    <w:rPr>
      <w:rFonts w:ascii="Arial" w:hAnsi="Arial" w:cs="Arial"/>
      <w:sz w:val="36"/>
      <w:szCs w:val="36"/>
      <w:lang w:val="en-GB" w:eastAsia="zh-CN"/>
    </w:rPr>
  </w:style>
  <w:style w:type="paragraph" w:customStyle="1" w:styleId="B1">
    <w:name w:val="B1"/>
    <w:basedOn w:val="List"/>
    <w:rsid w:val="00A84378"/>
    <w:pPr>
      <w:spacing w:after="180"/>
      <w:jc w:val="left"/>
    </w:pPr>
    <w:rPr>
      <w:lang w:eastAsia="en-US"/>
    </w:rPr>
  </w:style>
  <w:style w:type="paragraph" w:customStyle="1" w:styleId="B2">
    <w:name w:val="B2"/>
    <w:basedOn w:val="List2"/>
    <w:rsid w:val="00A84378"/>
    <w:pPr>
      <w:spacing w:after="180"/>
      <w:jc w:val="left"/>
    </w:pPr>
    <w:rPr>
      <w:lang w:eastAsia="en-US"/>
    </w:rPr>
  </w:style>
  <w:style w:type="paragraph" w:customStyle="1" w:styleId="B3">
    <w:name w:val="B3"/>
    <w:basedOn w:val="List3"/>
    <w:rsid w:val="00A84378"/>
    <w:pPr>
      <w:spacing w:after="180"/>
      <w:jc w:val="left"/>
    </w:pPr>
    <w:rPr>
      <w:lang w:eastAsia="en-US"/>
    </w:rPr>
  </w:style>
  <w:style w:type="paragraph" w:customStyle="1" w:styleId="B4">
    <w:name w:val="B4"/>
    <w:basedOn w:val="List4"/>
    <w:rsid w:val="00A84378"/>
    <w:pPr>
      <w:spacing w:after="180"/>
      <w:jc w:val="left"/>
    </w:pPr>
    <w:rPr>
      <w:lang w:eastAsia="en-US"/>
    </w:rPr>
  </w:style>
  <w:style w:type="paragraph" w:customStyle="1" w:styleId="Proposal">
    <w:name w:val="Proposal"/>
    <w:basedOn w:val="Normal"/>
    <w:rsid w:val="00A84378"/>
    <w:pPr>
      <w:numPr>
        <w:numId w:val="3"/>
      </w:numPr>
      <w:tabs>
        <w:tab w:val="clear" w:pos="1304"/>
        <w:tab w:val="left" w:pos="1701"/>
      </w:tabs>
      <w:ind w:left="1701" w:hanging="1701"/>
    </w:pPr>
    <w:rPr>
      <w:b/>
      <w:bCs/>
    </w:rPr>
  </w:style>
  <w:style w:type="character" w:customStyle="1" w:styleId="BodyTextChar">
    <w:name w:val="Body Text Char"/>
    <w:link w:val="BodyText"/>
    <w:rsid w:val="00A84378"/>
    <w:rPr>
      <w:rFonts w:ascii="Arial" w:hAnsi="Arial"/>
      <w:lang w:val="en-GB" w:eastAsia="zh-CN"/>
    </w:rPr>
  </w:style>
  <w:style w:type="paragraph" w:customStyle="1" w:styleId="B5">
    <w:name w:val="B5"/>
    <w:basedOn w:val="List5"/>
    <w:rsid w:val="00A84378"/>
    <w:pPr>
      <w:spacing w:after="180"/>
      <w:jc w:val="left"/>
    </w:pPr>
    <w:rPr>
      <w:lang w:eastAsia="en-US"/>
    </w:rPr>
  </w:style>
  <w:style w:type="paragraph" w:customStyle="1" w:styleId="EX">
    <w:name w:val="EX"/>
    <w:basedOn w:val="Normal"/>
    <w:rsid w:val="00A84378"/>
    <w:pPr>
      <w:keepLines/>
      <w:spacing w:after="180"/>
      <w:ind w:left="1702" w:hanging="1418"/>
      <w:jc w:val="left"/>
    </w:pPr>
    <w:rPr>
      <w:lang w:eastAsia="en-US"/>
    </w:rPr>
  </w:style>
  <w:style w:type="paragraph" w:customStyle="1" w:styleId="EW">
    <w:name w:val="EW"/>
    <w:basedOn w:val="EX"/>
    <w:rsid w:val="00A84378"/>
    <w:pPr>
      <w:spacing w:after="0"/>
    </w:pPr>
  </w:style>
  <w:style w:type="paragraph" w:customStyle="1" w:styleId="TAL">
    <w:name w:val="TAL"/>
    <w:basedOn w:val="Normal"/>
    <w:rsid w:val="00A84378"/>
    <w:pPr>
      <w:keepNext/>
      <w:keepLines/>
      <w:spacing w:after="0"/>
      <w:jc w:val="left"/>
    </w:pPr>
    <w:rPr>
      <w:sz w:val="18"/>
      <w:lang w:eastAsia="en-US"/>
    </w:rPr>
  </w:style>
  <w:style w:type="paragraph" w:customStyle="1" w:styleId="TAC">
    <w:name w:val="TAC"/>
    <w:basedOn w:val="TAL"/>
    <w:rsid w:val="00A84378"/>
    <w:pPr>
      <w:jc w:val="center"/>
    </w:pPr>
  </w:style>
  <w:style w:type="paragraph" w:customStyle="1" w:styleId="TAH">
    <w:name w:val="TAH"/>
    <w:basedOn w:val="TAC"/>
    <w:rsid w:val="00A84378"/>
    <w:rPr>
      <w:b/>
    </w:rPr>
  </w:style>
  <w:style w:type="paragraph" w:customStyle="1" w:styleId="TAN">
    <w:name w:val="TAN"/>
    <w:basedOn w:val="TAL"/>
    <w:rsid w:val="00A84378"/>
    <w:pPr>
      <w:ind w:left="851" w:hanging="851"/>
    </w:pPr>
  </w:style>
  <w:style w:type="paragraph" w:customStyle="1" w:styleId="TAR">
    <w:name w:val="TAR"/>
    <w:basedOn w:val="TAL"/>
    <w:rsid w:val="00A84378"/>
    <w:pPr>
      <w:jc w:val="right"/>
    </w:pPr>
  </w:style>
  <w:style w:type="paragraph" w:customStyle="1" w:styleId="TH">
    <w:name w:val="TH"/>
    <w:basedOn w:val="Normal"/>
    <w:link w:val="THChar"/>
    <w:rsid w:val="00A84378"/>
    <w:pPr>
      <w:keepNext/>
      <w:keepLines/>
      <w:spacing w:before="60" w:after="180"/>
      <w:jc w:val="center"/>
    </w:pPr>
    <w:rPr>
      <w:b/>
      <w:lang w:eastAsia="en-US"/>
    </w:rPr>
  </w:style>
  <w:style w:type="paragraph" w:customStyle="1" w:styleId="TF">
    <w:name w:val="TF"/>
    <w:aliases w:val="left"/>
    <w:basedOn w:val="TH"/>
    <w:link w:val="TFChar"/>
    <w:rsid w:val="00A84378"/>
    <w:pPr>
      <w:keepNext w:val="0"/>
      <w:spacing w:before="0" w:after="240"/>
    </w:pPr>
  </w:style>
  <w:style w:type="paragraph" w:customStyle="1" w:styleId="TT">
    <w:name w:val="TT"/>
    <w:basedOn w:val="Heading1"/>
    <w:next w:val="Normal"/>
    <w:rsid w:val="00A84378"/>
    <w:pPr>
      <w:numPr>
        <w:numId w:val="0"/>
      </w:numPr>
      <w:ind w:left="1134" w:hanging="1134"/>
      <w:outlineLvl w:val="9"/>
    </w:pPr>
    <w:rPr>
      <w:rFonts w:cs="Times New Roman"/>
      <w:szCs w:val="20"/>
      <w:lang w:eastAsia="en-US"/>
    </w:rPr>
  </w:style>
  <w:style w:type="paragraph" w:customStyle="1" w:styleId="ZA">
    <w:name w:val="ZA"/>
    <w:rsid w:val="00A843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3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43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43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4378"/>
  </w:style>
  <w:style w:type="paragraph" w:customStyle="1" w:styleId="ZH">
    <w:name w:val="ZH"/>
    <w:rsid w:val="00A843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43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4378"/>
    <w:pPr>
      <w:framePr w:hRule="auto" w:wrap="notBeside" w:y="852"/>
    </w:pPr>
    <w:rPr>
      <w:i w:val="0"/>
      <w:sz w:val="40"/>
    </w:rPr>
  </w:style>
  <w:style w:type="paragraph" w:customStyle="1" w:styleId="ZU">
    <w:name w:val="ZU"/>
    <w:rsid w:val="00A843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4378"/>
    <w:pPr>
      <w:framePr w:wrap="notBeside" w:y="16161"/>
    </w:pPr>
  </w:style>
  <w:style w:type="paragraph" w:customStyle="1" w:styleId="FP">
    <w:name w:val="FP"/>
    <w:basedOn w:val="Normal"/>
    <w:rsid w:val="00A84378"/>
    <w:pPr>
      <w:spacing w:after="0"/>
      <w:jc w:val="left"/>
    </w:pPr>
    <w:rPr>
      <w:lang w:eastAsia="en-US"/>
    </w:rPr>
  </w:style>
  <w:style w:type="paragraph" w:customStyle="1" w:styleId="Observation">
    <w:name w:val="Observation"/>
    <w:basedOn w:val="Proposal"/>
    <w:qFormat/>
    <w:rsid w:val="00A84378"/>
    <w:pPr>
      <w:numPr>
        <w:numId w:val="13"/>
      </w:numPr>
      <w:ind w:left="1701" w:hanging="1701"/>
    </w:pPr>
  </w:style>
  <w:style w:type="paragraph" w:styleId="TableofFigures">
    <w:name w:val="table of figures"/>
    <w:basedOn w:val="Normal"/>
    <w:next w:val="Normal"/>
    <w:uiPriority w:val="99"/>
    <w:rsid w:val="00A84378"/>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00236537">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3938644">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sChild>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1132989181">
          <w:marLeft w:val="274"/>
          <w:marRight w:val="0"/>
          <w:marTop w:val="91"/>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 w:id="322515552">
          <w:marLeft w:val="274"/>
          <w:marRight w:val="0"/>
          <w:marTop w:val="91"/>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sChild>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1504591348">
          <w:marLeft w:val="274"/>
          <w:marRight w:val="0"/>
          <w:marTop w:val="53"/>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211504682">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sChild>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81109504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145711756">
          <w:marLeft w:val="835"/>
          <w:marRight w:val="0"/>
          <w:marTop w:val="77"/>
          <w:marBottom w:val="0"/>
          <w:divBdr>
            <w:top w:val="none" w:sz="0" w:space="0" w:color="auto"/>
            <w:left w:val="none" w:sz="0" w:space="0" w:color="auto"/>
            <w:bottom w:val="none" w:sz="0" w:space="0" w:color="auto"/>
            <w:right w:val="none" w:sz="0" w:space="0" w:color="auto"/>
          </w:divBdr>
        </w:div>
      </w:divsChild>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5NUHHDQN7SK2-1-114693</_dlc_DocId>
    <_dlc_DocIdUrl xmlns="08b2df90-05d3-4030-90d4-c9feeb4a1cd9">
      <Url>https://ericoll.internal.ericsson.com/sites/STAR/_layouts/DocIdRedir.aspx?ID=5NUHHDQN7SK2-1-114693</Url>
      <Description>5NUHHDQN7SK2-1-114693</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4A88ABC3-26A9-4A28-87BE-BFF8F57D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1100</TotalTime>
  <Pages>7</Pages>
  <Words>1181</Words>
  <Characters>9573</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24</cp:revision>
  <cp:lastPrinted>2008-01-31T16:09:00Z</cp:lastPrinted>
  <dcterms:created xsi:type="dcterms:W3CDTF">2017-05-04T12:46:00Z</dcterms:created>
  <dcterms:modified xsi:type="dcterms:W3CDTF">2017-05-06T08:29:00Z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5e0f9475-a251-4cba-8b5e-5665d6347153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